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DE945">
      <w:pPr>
        <w:jc w:val="left"/>
        <w:rPr>
          <w:rFonts w:eastAsia="仿宋_GB2312"/>
          <w:color w:val="auto"/>
          <w:sz w:val="36"/>
          <w:szCs w:val="36"/>
          <w:highlight w:val="none"/>
        </w:rPr>
      </w:pPr>
    </w:p>
    <w:p w14:paraId="5BDAD77A">
      <w:pPr>
        <w:rPr>
          <w:rFonts w:eastAsia="仿宋_GB2312"/>
          <w:color w:val="auto"/>
          <w:sz w:val="36"/>
          <w:szCs w:val="36"/>
          <w:highlight w:val="none"/>
        </w:rPr>
      </w:pPr>
    </w:p>
    <w:p w14:paraId="7589543C">
      <w:pPr>
        <w:ind w:firstLine="480"/>
        <w:rPr>
          <w:rFonts w:eastAsia="仿宋_GB2312"/>
          <w:color w:val="auto"/>
          <w:sz w:val="36"/>
          <w:szCs w:val="36"/>
          <w:highlight w:val="none"/>
        </w:rPr>
      </w:pPr>
      <w:r>
        <w:rPr>
          <w:color w:val="auto"/>
          <w:highlight w:val="none"/>
        </w:rPr>
        <w:drawing>
          <wp:anchor distT="0" distB="0" distL="114935" distR="114935" simplePos="0" relativeHeight="251662336" behindDoc="0" locked="0" layoutInCell="1" allowOverlap="1">
            <wp:simplePos x="0" y="0"/>
            <wp:positionH relativeFrom="column">
              <wp:posOffset>-190500</wp:posOffset>
            </wp:positionH>
            <wp:positionV relativeFrom="paragraph">
              <wp:posOffset>-695960</wp:posOffset>
            </wp:positionV>
            <wp:extent cx="1569720" cy="576580"/>
            <wp:effectExtent l="0" t="0" r="11430" b="1397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
                    <a:stretch>
                      <a:fillRect/>
                    </a:stretch>
                  </pic:blipFill>
                  <pic:spPr>
                    <a:xfrm>
                      <a:off x="0" y="0"/>
                      <a:ext cx="1569720" cy="576580"/>
                    </a:xfrm>
                    <a:prstGeom prst="rect">
                      <a:avLst/>
                    </a:prstGeom>
                    <a:noFill/>
                    <a:ln>
                      <a:noFill/>
                    </a:ln>
                  </pic:spPr>
                </pic:pic>
              </a:graphicData>
            </a:graphic>
          </wp:anchor>
        </w:drawing>
      </w:r>
    </w:p>
    <w:p w14:paraId="307177BC">
      <w:pPr>
        <w:rPr>
          <w:rFonts w:eastAsia="仿宋_GB2312"/>
          <w:color w:val="auto"/>
          <w:sz w:val="36"/>
          <w:szCs w:val="36"/>
          <w:highlight w:val="none"/>
        </w:rPr>
      </w:pPr>
    </w:p>
    <w:p w14:paraId="2644B399">
      <w:pPr>
        <w:pStyle w:val="12"/>
        <w:ind w:firstLine="880"/>
        <w:rPr>
          <w:color w:val="auto"/>
          <w:sz w:val="44"/>
          <w:szCs w:val="44"/>
          <w:highlight w:val="none"/>
        </w:rPr>
      </w:pPr>
    </w:p>
    <w:p w14:paraId="586EBFBC">
      <w:pPr>
        <w:rPr>
          <w:color w:val="auto"/>
          <w:highlight w:val="none"/>
        </w:rPr>
      </w:pPr>
    </w:p>
    <w:p w14:paraId="34AAAD9A">
      <w:pPr>
        <w:adjustRightInd w:val="0"/>
        <w:snapToGrid w:val="0"/>
        <w:spacing w:line="1000" w:lineRule="exact"/>
        <w:ind w:firstLine="0" w:firstLineChars="0"/>
        <w:jc w:val="center"/>
        <w:outlineLvl w:val="0"/>
        <w:rPr>
          <w:rFonts w:eastAsia="方正小标宋_GBK"/>
          <w:bCs/>
          <w:color w:val="auto"/>
          <w:sz w:val="72"/>
          <w:szCs w:val="72"/>
          <w:highlight w:val="none"/>
        </w:rPr>
      </w:pPr>
      <w:bookmarkStart w:id="0" w:name="_Toc24186"/>
      <w:r>
        <w:rPr>
          <w:rFonts w:hint="eastAsia" w:ascii="宋体" w:hAnsi="宋体" w:cs="宋体"/>
          <w:b/>
          <w:color w:val="auto"/>
          <w:sz w:val="72"/>
          <w:szCs w:val="72"/>
          <w:highlight w:val="none"/>
        </w:rPr>
        <w:t>建设项目环境影响报告表</w:t>
      </w:r>
      <w:bookmarkStart w:id="1" w:name="pindex6"/>
      <w:bookmarkEnd w:id="1"/>
    </w:p>
    <w:p w14:paraId="12D2CF8E">
      <w:pPr>
        <w:adjustRightInd w:val="0"/>
        <w:snapToGrid w:val="0"/>
        <w:spacing w:line="800" w:lineRule="exact"/>
        <w:ind w:firstLine="0" w:firstLineChars="0"/>
        <w:jc w:val="center"/>
        <w:rPr>
          <w:color w:val="auto"/>
          <w:highlight w:val="none"/>
        </w:rPr>
      </w:pPr>
      <w:r>
        <w:rPr>
          <w:rFonts w:eastAsia="楷体_GB2312"/>
          <w:bCs/>
          <w:color w:val="auto"/>
          <w:sz w:val="48"/>
          <w:szCs w:val="48"/>
          <w:highlight w:val="none"/>
        </w:rPr>
        <w:t>（污染影响类）</w:t>
      </w:r>
    </w:p>
    <w:p w14:paraId="3C712F90">
      <w:pPr>
        <w:adjustRightInd w:val="0"/>
        <w:snapToGrid w:val="0"/>
        <w:ind w:firstLine="0" w:firstLineChars="0"/>
        <w:jc w:val="center"/>
        <w:rPr>
          <w:rFonts w:eastAsia="楷体_GB2312"/>
          <w:bCs/>
          <w:color w:val="auto"/>
          <w:sz w:val="48"/>
          <w:szCs w:val="48"/>
          <w:highlight w:val="none"/>
        </w:rPr>
      </w:pPr>
    </w:p>
    <w:p w14:paraId="5D3A6AE5">
      <w:pPr>
        <w:ind w:firstLine="480"/>
        <w:rPr>
          <w:color w:val="auto"/>
          <w:highlight w:val="none"/>
        </w:rPr>
      </w:pPr>
    </w:p>
    <w:p w14:paraId="2523CD40">
      <w:pPr>
        <w:ind w:firstLine="480"/>
        <w:jc w:val="left"/>
        <w:rPr>
          <w:color w:val="auto"/>
          <w:highlight w:val="none"/>
        </w:rPr>
      </w:pPr>
    </w:p>
    <w:p w14:paraId="6985E5F7">
      <w:pPr>
        <w:ind w:firstLine="480"/>
        <w:jc w:val="left"/>
        <w:rPr>
          <w:color w:val="auto"/>
          <w:highlight w:val="none"/>
        </w:rPr>
      </w:pPr>
    </w:p>
    <w:p w14:paraId="50D42D24">
      <w:pPr>
        <w:ind w:firstLine="480"/>
        <w:jc w:val="left"/>
        <w:rPr>
          <w:color w:val="auto"/>
          <w:highlight w:val="none"/>
        </w:rPr>
      </w:pPr>
    </w:p>
    <w:p w14:paraId="17B639AE">
      <w:pPr>
        <w:ind w:firstLine="480"/>
        <w:jc w:val="left"/>
        <w:rPr>
          <w:color w:val="auto"/>
          <w:highlight w:val="none"/>
        </w:rPr>
      </w:pPr>
    </w:p>
    <w:p w14:paraId="28A5895F">
      <w:pPr>
        <w:ind w:firstLine="480"/>
        <w:jc w:val="left"/>
        <w:rPr>
          <w:color w:val="auto"/>
          <w:highlight w:val="none"/>
        </w:rPr>
      </w:pPr>
    </w:p>
    <w:p w14:paraId="65095C49">
      <w:pPr>
        <w:ind w:firstLine="480"/>
        <w:jc w:val="left"/>
        <w:rPr>
          <w:color w:val="auto"/>
          <w:highlight w:val="none"/>
        </w:rPr>
      </w:pPr>
    </w:p>
    <w:p w14:paraId="7638809C">
      <w:pPr>
        <w:ind w:firstLine="480"/>
        <w:jc w:val="left"/>
        <w:rPr>
          <w:color w:val="auto"/>
          <w:highlight w:val="none"/>
        </w:rPr>
      </w:pPr>
    </w:p>
    <w:p w14:paraId="0B36E041">
      <w:pPr>
        <w:ind w:firstLine="480"/>
        <w:jc w:val="left"/>
        <w:rPr>
          <w:color w:val="auto"/>
          <w:highlight w:val="none"/>
        </w:rPr>
      </w:pPr>
    </w:p>
    <w:p w14:paraId="543C8AE5">
      <w:pPr>
        <w:pStyle w:val="12"/>
        <w:ind w:firstLine="480"/>
        <w:rPr>
          <w:color w:val="auto"/>
          <w:highlight w:val="none"/>
        </w:rPr>
      </w:pPr>
    </w:p>
    <w:tbl>
      <w:tblPr>
        <w:tblStyle w:val="34"/>
        <w:tblW w:w="5178"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8"/>
        <w:gridCol w:w="6017"/>
      </w:tblGrid>
      <w:tr w14:paraId="36DD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77" w:type="pct"/>
            <w:tcBorders>
              <w:top w:val="nil"/>
              <w:left w:val="nil"/>
              <w:bottom w:val="nil"/>
              <w:right w:val="nil"/>
            </w:tcBorders>
            <w:vAlign w:val="center"/>
          </w:tcPr>
          <w:p w14:paraId="31A96742">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cs="仿宋"/>
                <w:color w:val="auto"/>
                <w:sz w:val="36"/>
                <w:szCs w:val="36"/>
                <w:highlight w:val="none"/>
              </w:rPr>
            </w:pPr>
            <w:sdt>
              <w:sdtPr>
                <w:rPr>
                  <w:color w:val="auto"/>
                </w:rPr>
                <w:alias w:val="多余空格"/>
                <w:tag w:val="reviewtag_FF0000"/>
                <w:id w:val="2102231"/>
              </w:sdtPr>
              <w:sdtEndPr>
                <w:rPr>
                  <w:color w:val="auto"/>
                </w:rPr>
              </w:sdtEndPr>
              <w:sdtContent>
                <w:bookmarkStart w:id="2" w:name="bkReivew2102231"/>
                <w:r>
                  <w:rPr>
                    <w:rFonts w:hint="eastAsia" w:cs="仿宋"/>
                    <w:color w:val="auto"/>
                    <w:sz w:val="36"/>
                    <w:szCs w:val="36"/>
                    <w:highlight w:val="none"/>
                  </w:rPr>
                  <w:t>项</w:t>
                </w:r>
                <w:r>
                  <w:rPr>
                    <w:rFonts w:hint="eastAsia" w:cs="仿宋"/>
                    <w:color w:val="auto"/>
                    <w:sz w:val="36"/>
                    <w:szCs w:val="36"/>
                    <w:highlight w:val="none"/>
                    <w:lang w:val="en-US" w:eastAsia="zh-CN"/>
                  </w:rPr>
                  <w:t xml:space="preserve">  </w:t>
                </w:r>
                <w:r>
                  <w:rPr>
                    <w:rFonts w:hint="eastAsia" w:cs="仿宋"/>
                    <w:color w:val="auto"/>
                    <w:sz w:val="36"/>
                    <w:szCs w:val="36"/>
                    <w:highlight w:val="none"/>
                  </w:rPr>
                  <w:t>目</w:t>
                </w:r>
                <w:bookmarkEnd w:id="2"/>
              </w:sdtContent>
            </w:sdt>
            <w:r>
              <w:rPr>
                <w:rFonts w:hint="eastAsia" w:cs="仿宋"/>
                <w:color w:val="auto"/>
                <w:sz w:val="36"/>
                <w:szCs w:val="36"/>
                <w:highlight w:val="none"/>
                <w:lang w:val="en-US" w:eastAsia="zh-CN"/>
              </w:rPr>
              <w:t xml:space="preserve">  </w:t>
            </w:r>
            <w:sdt>
              <w:sdtPr>
                <w:rPr>
                  <w:color w:val="auto"/>
                </w:rPr>
                <w:alias w:val="多余空格"/>
                <w:tag w:val="reviewtag_FF0000"/>
                <w:id w:val="43104"/>
              </w:sdtPr>
              <w:sdtEndPr>
                <w:rPr>
                  <w:color w:val="auto"/>
                </w:rPr>
              </w:sdtEndPr>
              <w:sdtContent>
                <w:bookmarkStart w:id="3" w:name="bkReivew43104"/>
                <w:r>
                  <w:rPr>
                    <w:rFonts w:hint="eastAsia" w:cs="仿宋"/>
                    <w:color w:val="auto"/>
                    <w:sz w:val="36"/>
                    <w:szCs w:val="36"/>
                    <w:highlight w:val="none"/>
                  </w:rPr>
                  <w:t>名</w:t>
                </w:r>
                <w:r>
                  <w:rPr>
                    <w:rFonts w:hint="eastAsia" w:cs="仿宋"/>
                    <w:color w:val="auto"/>
                    <w:sz w:val="36"/>
                    <w:szCs w:val="36"/>
                    <w:highlight w:val="none"/>
                    <w:lang w:val="en-US" w:eastAsia="zh-CN"/>
                  </w:rPr>
                  <w:t xml:space="preserve">  </w:t>
                </w:r>
                <w:r>
                  <w:rPr>
                    <w:rFonts w:hint="eastAsia" w:cs="仿宋"/>
                    <w:color w:val="auto"/>
                    <w:sz w:val="36"/>
                    <w:szCs w:val="36"/>
                    <w:highlight w:val="none"/>
                  </w:rPr>
                  <w:t>称</w:t>
                </w:r>
                <w:bookmarkEnd w:id="3"/>
              </w:sdtContent>
            </w:sdt>
            <w:r>
              <w:rPr>
                <w:rFonts w:hint="eastAsia" w:cs="仿宋"/>
                <w:color w:val="auto"/>
                <w:sz w:val="36"/>
                <w:szCs w:val="36"/>
                <w:highlight w:val="none"/>
              </w:rPr>
              <w:t>：</w:t>
            </w:r>
          </w:p>
        </w:tc>
        <w:tc>
          <w:tcPr>
            <w:tcW w:w="3322" w:type="pct"/>
            <w:tcBorders>
              <w:top w:val="nil"/>
              <w:left w:val="nil"/>
              <w:bottom w:val="single" w:color="auto" w:sz="4" w:space="0"/>
              <w:right w:val="nil"/>
            </w:tcBorders>
            <w:vAlign w:val="bottom"/>
          </w:tcPr>
          <w:p w14:paraId="4AEB105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color w:val="auto"/>
                <w:sz w:val="36"/>
                <w:szCs w:val="36"/>
                <w:highlight w:val="none"/>
                <w:lang w:eastAsia="zh-CN"/>
              </w:rPr>
            </w:pPr>
            <w:r>
              <w:rPr>
                <w:rFonts w:hint="eastAsia"/>
                <w:color w:val="auto"/>
                <w:sz w:val="36"/>
                <w:szCs w:val="36"/>
                <w:highlight w:val="none"/>
                <w:lang w:val="en-US" w:eastAsia="zh-CN"/>
              </w:rPr>
              <w:t>移动电源设备生产项目</w:t>
            </w:r>
          </w:p>
        </w:tc>
      </w:tr>
      <w:tr w14:paraId="0AE9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77" w:type="pct"/>
            <w:tcBorders>
              <w:top w:val="nil"/>
              <w:left w:val="nil"/>
              <w:bottom w:val="nil"/>
              <w:right w:val="nil"/>
            </w:tcBorders>
            <w:vAlign w:val="center"/>
          </w:tcPr>
          <w:p w14:paraId="7297A3B9">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cs="仿宋"/>
                <w:color w:val="auto"/>
                <w:sz w:val="36"/>
                <w:szCs w:val="36"/>
                <w:highlight w:val="none"/>
              </w:rPr>
            </w:pPr>
            <w:r>
              <w:rPr>
                <w:rFonts w:hint="eastAsia" w:cs="仿宋"/>
                <w:color w:val="auto"/>
                <w:sz w:val="36"/>
                <w:szCs w:val="36"/>
                <w:highlight w:val="none"/>
              </w:rPr>
              <w:t>建设单位（盖章）：</w:t>
            </w:r>
          </w:p>
        </w:tc>
        <w:tc>
          <w:tcPr>
            <w:tcW w:w="3322" w:type="pct"/>
            <w:tcBorders>
              <w:top w:val="single" w:color="auto" w:sz="4" w:space="0"/>
              <w:left w:val="nil"/>
              <w:bottom w:val="single" w:color="auto" w:sz="4" w:space="0"/>
              <w:right w:val="nil"/>
            </w:tcBorders>
            <w:vAlign w:val="center"/>
          </w:tcPr>
          <w:p w14:paraId="3E70DD6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color w:val="auto"/>
                <w:sz w:val="36"/>
                <w:szCs w:val="36"/>
                <w:highlight w:val="none"/>
                <w:lang w:eastAsia="zh-CN"/>
              </w:rPr>
            </w:pPr>
            <w:r>
              <w:rPr>
                <w:rFonts w:hint="eastAsia"/>
                <w:color w:val="auto"/>
                <w:sz w:val="36"/>
                <w:szCs w:val="36"/>
                <w:highlight w:val="none"/>
                <w:lang w:val="en-US" w:eastAsia="zh-CN"/>
              </w:rPr>
              <w:t>南京酷科电子科技有限公司</w:t>
            </w:r>
          </w:p>
        </w:tc>
      </w:tr>
      <w:tr w14:paraId="1499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77" w:type="pct"/>
            <w:tcBorders>
              <w:top w:val="nil"/>
              <w:left w:val="nil"/>
              <w:bottom w:val="nil"/>
              <w:right w:val="nil"/>
            </w:tcBorders>
            <w:vAlign w:val="bottom"/>
          </w:tcPr>
          <w:p w14:paraId="3F7BA3F5">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cs="仿宋"/>
                <w:color w:val="auto"/>
                <w:sz w:val="36"/>
                <w:szCs w:val="36"/>
                <w:highlight w:val="none"/>
              </w:rPr>
            </w:pPr>
            <w:sdt>
              <w:sdtPr>
                <w:rPr>
                  <w:color w:val="auto"/>
                </w:rPr>
                <w:alias w:val="多余空格"/>
                <w:tag w:val="reviewtag_FF0000"/>
                <w:id w:val="70313"/>
              </w:sdtPr>
              <w:sdtEndPr>
                <w:rPr>
                  <w:color w:val="auto"/>
                </w:rPr>
              </w:sdtEndPr>
              <w:sdtContent>
                <w:bookmarkStart w:id="4" w:name="bkReivew70313"/>
                <w:r>
                  <w:rPr>
                    <w:rFonts w:hint="eastAsia" w:cs="仿宋"/>
                    <w:color w:val="auto"/>
                    <w:sz w:val="36"/>
                    <w:szCs w:val="36"/>
                    <w:highlight w:val="none"/>
                  </w:rPr>
                  <w:t>编</w:t>
                </w:r>
                <w:r>
                  <w:rPr>
                    <w:rFonts w:hint="eastAsia" w:cs="仿宋"/>
                    <w:color w:val="auto"/>
                    <w:sz w:val="36"/>
                    <w:szCs w:val="36"/>
                    <w:highlight w:val="none"/>
                    <w:lang w:val="en-US" w:eastAsia="zh-CN"/>
                  </w:rPr>
                  <w:t xml:space="preserve">  </w:t>
                </w:r>
                <w:r>
                  <w:rPr>
                    <w:rFonts w:hint="eastAsia" w:cs="仿宋"/>
                    <w:color w:val="auto"/>
                    <w:sz w:val="36"/>
                    <w:szCs w:val="36"/>
                    <w:highlight w:val="none"/>
                  </w:rPr>
                  <w:t>制</w:t>
                </w:r>
                <w:bookmarkEnd w:id="4"/>
              </w:sdtContent>
            </w:sdt>
            <w:r>
              <w:rPr>
                <w:rFonts w:hint="eastAsia" w:cs="仿宋"/>
                <w:color w:val="auto"/>
                <w:sz w:val="36"/>
                <w:szCs w:val="36"/>
                <w:highlight w:val="none"/>
                <w:lang w:val="en-US" w:eastAsia="zh-CN"/>
              </w:rPr>
              <w:t xml:space="preserve">  </w:t>
            </w:r>
            <w:sdt>
              <w:sdtPr>
                <w:rPr>
                  <w:color w:val="auto"/>
                </w:rPr>
                <w:alias w:val="多余空格"/>
                <w:tag w:val="reviewtag_FF0000"/>
                <w:id w:val="1131451"/>
              </w:sdtPr>
              <w:sdtEndPr>
                <w:rPr>
                  <w:color w:val="auto"/>
                </w:rPr>
              </w:sdtEndPr>
              <w:sdtContent>
                <w:bookmarkStart w:id="5" w:name="bkReivew1131451"/>
                <w:r>
                  <w:rPr>
                    <w:rFonts w:hint="eastAsia" w:cs="仿宋"/>
                    <w:color w:val="auto"/>
                    <w:sz w:val="36"/>
                    <w:szCs w:val="36"/>
                    <w:highlight w:val="none"/>
                  </w:rPr>
                  <w:t>日</w:t>
                </w:r>
                <w:r>
                  <w:rPr>
                    <w:rFonts w:hint="eastAsia" w:cs="仿宋"/>
                    <w:color w:val="auto"/>
                    <w:sz w:val="36"/>
                    <w:szCs w:val="36"/>
                    <w:highlight w:val="none"/>
                    <w:lang w:val="en-US" w:eastAsia="zh-CN"/>
                  </w:rPr>
                  <w:t xml:space="preserve">  </w:t>
                </w:r>
                <w:r>
                  <w:rPr>
                    <w:rFonts w:hint="eastAsia" w:cs="仿宋"/>
                    <w:color w:val="auto"/>
                    <w:sz w:val="36"/>
                    <w:szCs w:val="36"/>
                    <w:highlight w:val="none"/>
                  </w:rPr>
                  <w:t>期</w:t>
                </w:r>
                <w:bookmarkEnd w:id="5"/>
              </w:sdtContent>
            </w:sdt>
            <w:r>
              <w:rPr>
                <w:rFonts w:hint="eastAsia" w:cs="仿宋"/>
                <w:color w:val="auto"/>
                <w:sz w:val="36"/>
                <w:szCs w:val="36"/>
                <w:highlight w:val="none"/>
              </w:rPr>
              <w:t>：</w:t>
            </w:r>
          </w:p>
        </w:tc>
        <w:tc>
          <w:tcPr>
            <w:tcW w:w="3322" w:type="pct"/>
            <w:tcBorders>
              <w:top w:val="single" w:color="auto" w:sz="4" w:space="0"/>
              <w:left w:val="nil"/>
              <w:right w:val="nil"/>
            </w:tcBorders>
            <w:vAlign w:val="bottom"/>
          </w:tcPr>
          <w:p w14:paraId="054DCC0B">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cs="仿宋"/>
                <w:color w:val="auto"/>
                <w:sz w:val="36"/>
                <w:szCs w:val="36"/>
                <w:highlight w:val="none"/>
              </w:rPr>
            </w:pPr>
            <w:r>
              <w:rPr>
                <w:rFonts w:hint="eastAsia"/>
                <w:color w:val="auto"/>
                <w:sz w:val="36"/>
                <w:szCs w:val="36"/>
                <w:highlight w:val="none"/>
                <w:lang w:val="en-US" w:eastAsia="zh-CN"/>
              </w:rPr>
              <w:t>2026</w:t>
            </w:r>
            <w:r>
              <w:rPr>
                <w:color w:val="auto"/>
                <w:sz w:val="36"/>
                <w:szCs w:val="36"/>
                <w:highlight w:val="none"/>
              </w:rPr>
              <w:t>年</w:t>
            </w:r>
            <w:r>
              <w:rPr>
                <w:rFonts w:hint="eastAsia"/>
                <w:color w:val="auto"/>
                <w:sz w:val="36"/>
                <w:szCs w:val="36"/>
                <w:highlight w:val="none"/>
                <w:lang w:val="en-US" w:eastAsia="zh-CN"/>
              </w:rPr>
              <w:t>8</w:t>
            </w:r>
            <w:r>
              <w:rPr>
                <w:color w:val="auto"/>
                <w:sz w:val="36"/>
                <w:szCs w:val="36"/>
                <w:highlight w:val="none"/>
              </w:rPr>
              <w:t>月</w:t>
            </w:r>
          </w:p>
        </w:tc>
      </w:tr>
    </w:tbl>
    <w:p w14:paraId="5E001758">
      <w:pPr>
        <w:ind w:firstLine="480"/>
        <w:rPr>
          <w:color w:val="auto"/>
          <w:highlight w:val="none"/>
        </w:rPr>
      </w:pPr>
    </w:p>
    <w:p w14:paraId="5A6B7AB4">
      <w:pPr>
        <w:adjustRightInd w:val="0"/>
        <w:snapToGrid w:val="0"/>
        <w:spacing w:line="288" w:lineRule="auto"/>
        <w:ind w:firstLine="480"/>
        <w:rPr>
          <w:color w:val="auto"/>
          <w:highlight w:val="none"/>
        </w:rPr>
      </w:pPr>
    </w:p>
    <w:p w14:paraId="396B0DD2">
      <w:pPr>
        <w:adjustRightInd w:val="0"/>
        <w:snapToGrid w:val="0"/>
        <w:spacing w:line="288" w:lineRule="auto"/>
        <w:ind w:firstLine="480"/>
        <w:rPr>
          <w:color w:val="auto"/>
          <w:highlight w:val="none"/>
        </w:rPr>
      </w:pPr>
    </w:p>
    <w:p w14:paraId="5FD5CA27">
      <w:pPr>
        <w:adjustRightInd w:val="0"/>
        <w:snapToGrid w:val="0"/>
        <w:spacing w:line="288" w:lineRule="auto"/>
        <w:ind w:firstLine="480"/>
        <w:rPr>
          <w:color w:val="auto"/>
          <w:highlight w:val="none"/>
        </w:rPr>
      </w:pPr>
    </w:p>
    <w:p w14:paraId="5AFDF7F2">
      <w:pPr>
        <w:ind w:firstLine="0" w:firstLineChars="0"/>
        <w:jc w:val="center"/>
        <w:rPr>
          <w:rFonts w:eastAsia="仿宋_GB2312"/>
          <w:color w:val="auto"/>
          <w:sz w:val="36"/>
          <w:szCs w:val="36"/>
          <w:highlight w:val="none"/>
        </w:rPr>
      </w:pPr>
      <w:r>
        <w:rPr>
          <w:rFonts w:hint="eastAsia" w:ascii="宋体" w:hAnsi="宋体" w:cs="宋体"/>
          <w:color w:val="auto"/>
          <w:sz w:val="36"/>
          <w:szCs w:val="36"/>
          <w:highlight w:val="none"/>
        </w:rPr>
        <w:t>中华人民共和国生态环境部制</w:t>
      </w:r>
    </w:p>
    <w:p w14:paraId="35A00FE8">
      <w:pPr>
        <w:adjustRightInd w:val="0"/>
        <w:snapToGrid w:val="0"/>
        <w:spacing w:line="288" w:lineRule="auto"/>
        <w:jc w:val="center"/>
        <w:rPr>
          <w:rFonts w:eastAsia="仿宋_GB2312"/>
          <w:color w:val="auto"/>
          <w:sz w:val="36"/>
          <w:szCs w:val="36"/>
          <w:highlight w:val="none"/>
        </w:rPr>
        <w:sectPr>
          <w:footerReference r:id="rId5" w:type="default"/>
          <w:footerReference r:id="rId6" w:type="even"/>
          <w:pgSz w:w="11906" w:h="16838"/>
          <w:pgMar w:top="1440" w:right="1576" w:bottom="1440" w:left="1576" w:header="851" w:footer="1077" w:gutter="0"/>
          <w:pgBorders>
            <w:top w:val="none" w:sz="0" w:space="0"/>
            <w:left w:val="none" w:sz="0" w:space="0"/>
            <w:bottom w:val="none" w:sz="0" w:space="0"/>
            <w:right w:val="none" w:sz="0" w:space="0"/>
          </w:pgBorders>
          <w:pgNumType w:fmt="decimal" w:start="3"/>
          <w:cols w:space="720" w:num="1"/>
          <w:docGrid w:linePitch="312" w:charSpace="0"/>
        </w:sectPr>
      </w:pPr>
    </w:p>
    <w:bookmarkEnd w:id="0"/>
    <w:p w14:paraId="01B7C2C7">
      <w:pPr>
        <w:pStyle w:val="29"/>
        <w:tabs>
          <w:tab w:val="left" w:pos="2520"/>
        </w:tabs>
        <w:spacing w:before="0" w:beforeAutospacing="0" w:after="0" w:afterAutospacing="0" w:line="240" w:lineRule="auto"/>
        <w:ind w:firstLine="0" w:firstLineChars="0"/>
        <w:jc w:val="center"/>
        <w:outlineLvl w:val="0"/>
        <w:rPr>
          <w:rFonts w:ascii="Times New Roman" w:hAnsi="Times New Roman" w:eastAsia="黑体"/>
          <w:snapToGrid w:val="0"/>
          <w:color w:val="auto"/>
          <w:sz w:val="30"/>
          <w:szCs w:val="30"/>
          <w:highlight w:val="none"/>
        </w:rPr>
      </w:pPr>
      <w:bookmarkStart w:id="6" w:name="_Toc14796"/>
      <w:r>
        <w:rPr>
          <w:rFonts w:ascii="Times New Roman" w:hAnsi="Times New Roman" w:eastAsia="黑体"/>
          <w:snapToGrid w:val="0"/>
          <w:color w:val="auto"/>
          <w:sz w:val="30"/>
          <w:szCs w:val="30"/>
          <w:highlight w:val="none"/>
        </w:rPr>
        <w:t>一、建设项目基本情况</w:t>
      </w:r>
      <w:bookmarkEnd w:id="6"/>
      <w:bookmarkStart w:id="7" w:name="pindex38"/>
      <w:bookmarkEnd w:id="7"/>
    </w:p>
    <w:tbl>
      <w:tblPr>
        <w:tblStyle w:val="33"/>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42"/>
        <w:gridCol w:w="2383"/>
        <w:gridCol w:w="1760"/>
        <w:gridCol w:w="3185"/>
      </w:tblGrid>
      <w:tr w14:paraId="35E3A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1542" w:type="dxa"/>
            <w:tcMar>
              <w:top w:w="16" w:type="dxa"/>
              <w:left w:w="16" w:type="dxa"/>
              <w:right w:w="16" w:type="dxa"/>
            </w:tcMar>
            <w:vAlign w:val="center"/>
          </w:tcPr>
          <w:p w14:paraId="01B80757">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建设项目名称</w:t>
            </w:r>
          </w:p>
        </w:tc>
        <w:tc>
          <w:tcPr>
            <w:tcW w:w="7328" w:type="dxa"/>
            <w:gridSpan w:val="3"/>
            <w:vAlign w:val="center"/>
          </w:tcPr>
          <w:p w14:paraId="0BFE4D2F">
            <w:pPr>
              <w:adjustRightInd w:val="0"/>
              <w:snapToGrid w:val="0"/>
              <w:spacing w:line="240" w:lineRule="auto"/>
              <w:ind w:firstLine="0" w:firstLineChars="0"/>
              <w:jc w:val="center"/>
              <w:rPr>
                <w:rFonts w:hint="eastAsia"/>
                <w:color w:val="auto"/>
                <w:szCs w:val="22"/>
                <w:highlight w:val="none"/>
                <w:lang w:val="en-US" w:eastAsia="zh-CN"/>
              </w:rPr>
            </w:pPr>
            <w:r>
              <w:rPr>
                <w:rFonts w:hint="eastAsia"/>
                <w:color w:val="auto"/>
                <w:szCs w:val="22"/>
                <w:highlight w:val="none"/>
                <w:lang w:val="en-US" w:eastAsia="zh-CN"/>
              </w:rPr>
              <w:t>移动电源设备生产项目</w:t>
            </w:r>
          </w:p>
        </w:tc>
      </w:tr>
      <w:tr w14:paraId="14F9E7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42" w:type="dxa"/>
            <w:tcMar>
              <w:top w:w="16" w:type="dxa"/>
              <w:left w:w="16" w:type="dxa"/>
              <w:right w:w="16" w:type="dxa"/>
            </w:tcMar>
            <w:vAlign w:val="center"/>
          </w:tcPr>
          <w:p w14:paraId="7A84113C">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项目代码</w:t>
            </w:r>
          </w:p>
        </w:tc>
        <w:tc>
          <w:tcPr>
            <w:tcW w:w="7328" w:type="dxa"/>
            <w:gridSpan w:val="3"/>
            <w:vAlign w:val="center"/>
          </w:tcPr>
          <w:p w14:paraId="37961D96">
            <w:pPr>
              <w:adjustRightInd w:val="0"/>
              <w:snapToGrid w:val="0"/>
              <w:spacing w:line="240" w:lineRule="auto"/>
              <w:ind w:firstLine="0" w:firstLineChars="0"/>
              <w:jc w:val="center"/>
              <w:rPr>
                <w:rFonts w:hint="eastAsia"/>
                <w:color w:val="auto"/>
                <w:szCs w:val="22"/>
                <w:highlight w:val="none"/>
                <w:lang w:val="en-US" w:eastAsia="zh-CN"/>
              </w:rPr>
            </w:pPr>
            <w:r>
              <w:rPr>
                <w:rFonts w:hint="eastAsia"/>
                <w:color w:val="auto"/>
                <w:szCs w:val="22"/>
                <w:highlight w:val="none"/>
                <w:lang w:val="en-US" w:eastAsia="zh-CN"/>
              </w:rPr>
              <w:t>2607-320156-89-01-732880</w:t>
            </w:r>
          </w:p>
        </w:tc>
      </w:tr>
      <w:tr w14:paraId="63EAD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1542" w:type="dxa"/>
            <w:tcMar>
              <w:top w:w="16" w:type="dxa"/>
              <w:left w:w="16" w:type="dxa"/>
              <w:right w:w="16" w:type="dxa"/>
            </w:tcMar>
            <w:vAlign w:val="center"/>
          </w:tcPr>
          <w:p w14:paraId="523F4572">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建设单位联系人</w:t>
            </w:r>
          </w:p>
        </w:tc>
        <w:tc>
          <w:tcPr>
            <w:tcW w:w="2383" w:type="dxa"/>
            <w:vAlign w:val="center"/>
          </w:tcPr>
          <w:p w14:paraId="6057FE4E">
            <w:pPr>
              <w:adjustRightInd w:val="0"/>
              <w:snapToGrid w:val="0"/>
              <w:spacing w:line="240" w:lineRule="auto"/>
              <w:ind w:firstLine="0" w:firstLineChars="0"/>
              <w:jc w:val="center"/>
              <w:rPr>
                <w:rFonts w:hint="default" w:eastAsia="宋体"/>
                <w:color w:val="auto"/>
                <w:szCs w:val="22"/>
                <w:highlight w:val="none"/>
                <w:lang w:val="en-US" w:eastAsia="zh-CN"/>
              </w:rPr>
            </w:pPr>
          </w:p>
        </w:tc>
        <w:tc>
          <w:tcPr>
            <w:tcW w:w="1760" w:type="dxa"/>
            <w:vAlign w:val="center"/>
          </w:tcPr>
          <w:p w14:paraId="2AC3D2A6">
            <w:pPr>
              <w:adjustRightInd w:val="0"/>
              <w:snapToGrid w:val="0"/>
              <w:spacing w:line="240" w:lineRule="auto"/>
              <w:ind w:firstLine="0" w:firstLineChars="0"/>
              <w:jc w:val="center"/>
              <w:rPr>
                <w:color w:val="auto"/>
                <w:szCs w:val="22"/>
                <w:highlight w:val="none"/>
              </w:rPr>
            </w:pPr>
            <w:r>
              <w:rPr>
                <w:rFonts w:hint="eastAsia"/>
                <w:b/>
                <w:bCs/>
                <w:color w:val="auto"/>
                <w:szCs w:val="22"/>
                <w:highlight w:val="none"/>
              </w:rPr>
              <w:t>联系方式</w:t>
            </w:r>
          </w:p>
        </w:tc>
        <w:tc>
          <w:tcPr>
            <w:tcW w:w="3185" w:type="dxa"/>
            <w:vAlign w:val="center"/>
          </w:tcPr>
          <w:p w14:paraId="3574FBC1">
            <w:pPr>
              <w:adjustRightInd w:val="0"/>
              <w:snapToGrid w:val="0"/>
              <w:spacing w:line="240" w:lineRule="auto"/>
              <w:ind w:firstLine="0" w:firstLineChars="0"/>
              <w:jc w:val="center"/>
              <w:rPr>
                <w:rFonts w:hint="default" w:eastAsia="宋体"/>
                <w:color w:val="auto"/>
                <w:szCs w:val="22"/>
                <w:highlight w:val="none"/>
                <w:lang w:val="en-US" w:eastAsia="zh-CN"/>
              </w:rPr>
            </w:pPr>
          </w:p>
        </w:tc>
      </w:tr>
      <w:tr w14:paraId="02495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42" w:type="dxa"/>
            <w:tcMar>
              <w:top w:w="16" w:type="dxa"/>
              <w:left w:w="16" w:type="dxa"/>
              <w:right w:w="16" w:type="dxa"/>
            </w:tcMar>
            <w:vAlign w:val="center"/>
          </w:tcPr>
          <w:p w14:paraId="4490CB2C">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建设地点</w:t>
            </w:r>
          </w:p>
        </w:tc>
        <w:tc>
          <w:tcPr>
            <w:tcW w:w="7328" w:type="dxa"/>
            <w:gridSpan w:val="3"/>
            <w:vAlign w:val="center"/>
          </w:tcPr>
          <w:p w14:paraId="01CF219E">
            <w:pPr>
              <w:adjustRightInd w:val="0"/>
              <w:snapToGrid w:val="0"/>
              <w:spacing w:line="240" w:lineRule="auto"/>
              <w:ind w:firstLine="0" w:firstLineChars="0"/>
              <w:jc w:val="center"/>
              <w:rPr>
                <w:rFonts w:hint="eastAsia" w:eastAsia="宋体"/>
                <w:color w:val="auto"/>
                <w:szCs w:val="22"/>
                <w:highlight w:val="none"/>
                <w:lang w:eastAsia="zh-CN"/>
              </w:rPr>
            </w:pPr>
            <w:r>
              <w:rPr>
                <w:rFonts w:hint="eastAsia"/>
                <w:color w:val="auto"/>
                <w:szCs w:val="22"/>
                <w:highlight w:val="none"/>
                <w:u w:val="single"/>
              </w:rPr>
              <w:t>江苏</w:t>
            </w:r>
            <w:r>
              <w:rPr>
                <w:rFonts w:hint="eastAsia"/>
                <w:color w:val="auto"/>
                <w:szCs w:val="22"/>
                <w:highlight w:val="none"/>
              </w:rPr>
              <w:t>省</w:t>
            </w:r>
            <w:r>
              <w:rPr>
                <w:rFonts w:hint="eastAsia"/>
                <w:color w:val="auto"/>
                <w:szCs w:val="22"/>
                <w:highlight w:val="none"/>
                <w:u w:val="single"/>
              </w:rPr>
              <w:t>南京</w:t>
            </w:r>
            <w:r>
              <w:rPr>
                <w:rFonts w:hint="eastAsia"/>
                <w:color w:val="auto"/>
                <w:szCs w:val="22"/>
                <w:highlight w:val="none"/>
              </w:rPr>
              <w:t>市</w:t>
            </w:r>
            <w:r>
              <w:rPr>
                <w:rFonts w:hint="eastAsia"/>
                <w:color w:val="auto"/>
                <w:szCs w:val="22"/>
                <w:highlight w:val="none"/>
                <w:u w:val="single"/>
                <w:lang w:val="en-US" w:eastAsia="zh-CN"/>
              </w:rPr>
              <w:t>江宁经济技术开发</w:t>
            </w:r>
            <w:r>
              <w:rPr>
                <w:rFonts w:hint="eastAsia"/>
                <w:color w:val="auto"/>
                <w:szCs w:val="22"/>
                <w:highlight w:val="none"/>
                <w:u w:val="none"/>
                <w:lang w:val="en-US" w:eastAsia="zh-CN"/>
              </w:rPr>
              <w:t>区</w:t>
            </w:r>
            <w:r>
              <w:rPr>
                <w:rFonts w:hint="eastAsia"/>
                <w:color w:val="auto"/>
                <w:szCs w:val="22"/>
                <w:highlight w:val="none"/>
                <w:u w:val="single"/>
                <w:lang w:val="en-US" w:eastAsia="zh-CN"/>
              </w:rPr>
              <w:t>横溪街道乐园路</w:t>
            </w:r>
          </w:p>
        </w:tc>
      </w:tr>
      <w:tr w14:paraId="04E79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42" w:type="dxa"/>
            <w:tcMar>
              <w:top w:w="16" w:type="dxa"/>
              <w:left w:w="16" w:type="dxa"/>
              <w:right w:w="16" w:type="dxa"/>
            </w:tcMar>
            <w:vAlign w:val="center"/>
          </w:tcPr>
          <w:p w14:paraId="5324B1BD">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地理坐标</w:t>
            </w:r>
          </w:p>
        </w:tc>
        <w:tc>
          <w:tcPr>
            <w:tcW w:w="7328" w:type="dxa"/>
            <w:gridSpan w:val="3"/>
            <w:vAlign w:val="center"/>
          </w:tcPr>
          <w:p w14:paraId="41C3858F">
            <w:pPr>
              <w:adjustRightInd w:val="0"/>
              <w:snapToGrid w:val="0"/>
              <w:spacing w:line="240" w:lineRule="auto"/>
              <w:ind w:firstLine="0" w:firstLineChars="0"/>
              <w:jc w:val="center"/>
              <w:rPr>
                <w:color w:val="auto"/>
                <w:szCs w:val="22"/>
                <w:highlight w:val="none"/>
              </w:rPr>
            </w:pPr>
            <w:r>
              <w:rPr>
                <w:rFonts w:hint="eastAsia"/>
                <w:color w:val="auto"/>
                <w:highlight w:val="none"/>
              </w:rPr>
              <w:t>（</w:t>
            </w:r>
            <w:r>
              <w:rPr>
                <w:rFonts w:hint="eastAsia"/>
                <w:color w:val="auto"/>
                <w:highlight w:val="none"/>
                <w:u w:val="single"/>
              </w:rPr>
              <w:t>118</w:t>
            </w:r>
            <w:r>
              <w:rPr>
                <w:rFonts w:hint="eastAsia"/>
                <w:color w:val="auto"/>
                <w:highlight w:val="none"/>
              </w:rPr>
              <w:t>度</w:t>
            </w:r>
            <w:r>
              <w:rPr>
                <w:rFonts w:hint="eastAsia"/>
                <w:color w:val="auto"/>
                <w:highlight w:val="none"/>
                <w:u w:val="single"/>
                <w:lang w:val="en-US" w:eastAsia="zh-CN"/>
              </w:rPr>
              <w:t>47</w:t>
            </w:r>
            <w:r>
              <w:rPr>
                <w:rFonts w:hint="eastAsia"/>
                <w:color w:val="auto"/>
                <w:highlight w:val="none"/>
              </w:rPr>
              <w:t>分</w:t>
            </w:r>
            <w:r>
              <w:rPr>
                <w:rFonts w:hint="eastAsia"/>
                <w:color w:val="auto"/>
                <w:highlight w:val="none"/>
                <w:u w:val="single"/>
                <w:lang w:val="en-US" w:eastAsia="zh-CN"/>
              </w:rPr>
              <w:t>2.987</w:t>
            </w:r>
            <w:r>
              <w:rPr>
                <w:rFonts w:hint="eastAsia"/>
                <w:color w:val="auto"/>
                <w:highlight w:val="none"/>
              </w:rPr>
              <w:t>秒</w:t>
            </w:r>
            <w:r>
              <w:rPr>
                <w:rFonts w:hint="eastAsia"/>
                <w:color w:val="auto"/>
                <w:highlight w:val="none"/>
              </w:rPr>
              <w:t>，</w:t>
            </w:r>
            <w:r>
              <w:rPr>
                <w:rFonts w:hint="eastAsia"/>
                <w:color w:val="auto"/>
                <w:highlight w:val="none"/>
                <w:u w:val="single"/>
              </w:rPr>
              <w:t>31</w:t>
            </w:r>
            <w:r>
              <w:rPr>
                <w:rFonts w:hint="eastAsia"/>
                <w:color w:val="auto"/>
                <w:highlight w:val="none"/>
              </w:rPr>
              <w:t>度</w:t>
            </w:r>
            <w:r>
              <w:rPr>
                <w:rFonts w:hint="eastAsia"/>
                <w:color w:val="auto"/>
                <w:highlight w:val="none"/>
                <w:u w:val="single"/>
                <w:lang w:val="en-US" w:eastAsia="zh-CN"/>
              </w:rPr>
              <w:t>46</w:t>
            </w:r>
            <w:r>
              <w:rPr>
                <w:rFonts w:hint="eastAsia"/>
                <w:color w:val="auto"/>
                <w:highlight w:val="none"/>
              </w:rPr>
              <w:t>分</w:t>
            </w:r>
            <w:r>
              <w:rPr>
                <w:rFonts w:hint="eastAsia"/>
                <w:color w:val="auto"/>
                <w:highlight w:val="none"/>
                <w:u w:val="single"/>
                <w:lang w:val="en-US" w:eastAsia="zh-CN"/>
              </w:rPr>
              <w:t>14.138</w:t>
            </w:r>
            <w:r>
              <w:rPr>
                <w:rFonts w:hint="eastAsia"/>
                <w:color w:val="auto"/>
                <w:highlight w:val="none"/>
              </w:rPr>
              <w:t>秒</w:t>
            </w:r>
            <w:r>
              <w:rPr>
                <w:rFonts w:hint="eastAsia"/>
                <w:color w:val="auto"/>
                <w:highlight w:val="none"/>
              </w:rPr>
              <w:t>）</w:t>
            </w:r>
          </w:p>
        </w:tc>
      </w:tr>
      <w:tr w14:paraId="40D1F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542" w:type="dxa"/>
            <w:tcMar>
              <w:top w:w="16" w:type="dxa"/>
              <w:left w:w="16" w:type="dxa"/>
              <w:right w:w="16" w:type="dxa"/>
            </w:tcMar>
            <w:vAlign w:val="center"/>
          </w:tcPr>
          <w:p w14:paraId="42E61A2D">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国民经济</w:t>
            </w:r>
          </w:p>
          <w:p w14:paraId="108712E2">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行业类别</w:t>
            </w:r>
          </w:p>
        </w:tc>
        <w:tc>
          <w:tcPr>
            <w:tcW w:w="2383" w:type="dxa"/>
            <w:vAlign w:val="center"/>
          </w:tcPr>
          <w:p w14:paraId="28EC161C">
            <w:pPr>
              <w:adjustRightInd w:val="0"/>
              <w:snapToGrid w:val="0"/>
              <w:spacing w:line="240" w:lineRule="auto"/>
              <w:ind w:firstLine="0" w:firstLineChars="0"/>
              <w:jc w:val="left"/>
              <w:rPr>
                <w:rFonts w:hint="default" w:eastAsia="宋体"/>
                <w:color w:val="auto"/>
                <w:szCs w:val="22"/>
                <w:highlight w:val="none"/>
                <w:lang w:val="en-US" w:eastAsia="zh-CN"/>
              </w:rPr>
            </w:pPr>
            <w:r>
              <w:rPr>
                <w:rFonts w:hint="default" w:ascii="Times New Roman" w:hAnsi="Times New Roman" w:eastAsia="宋体" w:cs="Times New Roman"/>
                <w:color w:val="auto"/>
                <w:szCs w:val="22"/>
                <w:highlight w:val="none"/>
                <w:lang w:val="en-US" w:eastAsia="zh-CN"/>
              </w:rPr>
              <w:t>C</w:t>
            </w:r>
            <w:r>
              <w:rPr>
                <w:rFonts w:hint="eastAsia" w:cs="Times New Roman"/>
                <w:color w:val="auto"/>
                <w:szCs w:val="22"/>
                <w:highlight w:val="none"/>
                <w:lang w:val="en-US" w:eastAsia="zh-CN"/>
              </w:rPr>
              <w:t>3969其他智能消费设备制造</w:t>
            </w:r>
          </w:p>
        </w:tc>
        <w:tc>
          <w:tcPr>
            <w:tcW w:w="1760" w:type="dxa"/>
            <w:vAlign w:val="center"/>
          </w:tcPr>
          <w:p w14:paraId="0418F7E2">
            <w:pPr>
              <w:adjustRightInd w:val="0"/>
              <w:snapToGrid w:val="0"/>
              <w:spacing w:line="240" w:lineRule="auto"/>
              <w:ind w:firstLine="0" w:firstLineChars="0"/>
              <w:jc w:val="center"/>
              <w:rPr>
                <w:b/>
                <w:bCs/>
                <w:color w:val="auto"/>
                <w:szCs w:val="22"/>
                <w:highlight w:val="none"/>
              </w:rPr>
            </w:pPr>
            <w:bookmarkStart w:id="8" w:name="_Hlk49843745"/>
            <w:r>
              <w:rPr>
                <w:rFonts w:hint="eastAsia"/>
                <w:b/>
                <w:bCs/>
                <w:color w:val="auto"/>
                <w:szCs w:val="22"/>
                <w:highlight w:val="none"/>
              </w:rPr>
              <w:t>建设项目</w:t>
            </w:r>
          </w:p>
          <w:p w14:paraId="4CEA460F">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行业类别</w:t>
            </w:r>
            <w:bookmarkEnd w:id="8"/>
          </w:p>
        </w:tc>
        <w:tc>
          <w:tcPr>
            <w:tcW w:w="3185" w:type="dxa"/>
            <w:vAlign w:val="center"/>
          </w:tcPr>
          <w:p w14:paraId="339738CD">
            <w:pPr>
              <w:adjustRightInd w:val="0"/>
              <w:snapToGrid w:val="0"/>
              <w:spacing w:line="240" w:lineRule="auto"/>
              <w:ind w:firstLine="0" w:firstLineChars="0"/>
              <w:jc w:val="left"/>
              <w:rPr>
                <w:rFonts w:hint="default" w:eastAsia="宋体"/>
                <w:color w:val="auto"/>
                <w:highlight w:val="none"/>
                <w:lang w:val="en-US" w:eastAsia="zh-CN"/>
              </w:rPr>
            </w:pPr>
            <w:r>
              <w:rPr>
                <w:rFonts w:hint="eastAsia"/>
                <w:color w:val="auto"/>
                <w:szCs w:val="22"/>
                <w:highlight w:val="none"/>
                <w:lang w:val="en-US" w:eastAsia="zh-CN"/>
              </w:rPr>
              <w:t>三十六、计算机、通信和其他电子设备制造业 39</w:t>
            </w:r>
            <w:r>
              <w:rPr>
                <w:rFonts w:hint="eastAsia"/>
                <w:color w:val="auto"/>
                <w:szCs w:val="22"/>
                <w:highlight w:val="none"/>
                <w:lang w:eastAsia="zh-CN"/>
              </w:rPr>
              <w:t>——</w:t>
            </w:r>
            <w:r>
              <w:rPr>
                <w:rFonts w:hint="eastAsia"/>
                <w:color w:val="auto"/>
                <w:szCs w:val="22"/>
                <w:highlight w:val="none"/>
                <w:lang w:val="en-US" w:eastAsia="zh-CN"/>
              </w:rPr>
              <w:t>智能消费设备制造396</w:t>
            </w:r>
          </w:p>
        </w:tc>
      </w:tr>
      <w:tr w14:paraId="6AE2D5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542" w:type="dxa"/>
            <w:tcMar>
              <w:top w:w="16" w:type="dxa"/>
              <w:left w:w="16" w:type="dxa"/>
              <w:right w:w="16" w:type="dxa"/>
            </w:tcMar>
            <w:vAlign w:val="center"/>
          </w:tcPr>
          <w:p w14:paraId="51A118D9">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建设性质</w:t>
            </w:r>
          </w:p>
        </w:tc>
        <w:tc>
          <w:tcPr>
            <w:tcW w:w="2383" w:type="dxa"/>
            <w:vAlign w:val="center"/>
          </w:tcPr>
          <w:p w14:paraId="2C432E6D">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52"/>
            </w:r>
            <w:r>
              <w:rPr>
                <w:rFonts w:hint="eastAsia"/>
                <w:color w:val="auto"/>
                <w:szCs w:val="22"/>
                <w:highlight w:val="none"/>
              </w:rPr>
              <w:t>新建（迁建）</w:t>
            </w:r>
          </w:p>
          <w:p w14:paraId="2858CD29">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改建</w:t>
            </w:r>
          </w:p>
          <w:p w14:paraId="71C37542">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扩建</w:t>
            </w:r>
          </w:p>
          <w:p w14:paraId="72765D3C">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技术改造</w:t>
            </w:r>
          </w:p>
        </w:tc>
        <w:tc>
          <w:tcPr>
            <w:tcW w:w="1760" w:type="dxa"/>
            <w:vAlign w:val="center"/>
          </w:tcPr>
          <w:p w14:paraId="41E3B52B">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建设项目</w:t>
            </w:r>
          </w:p>
          <w:p w14:paraId="57A9FB86">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申报情形</w:t>
            </w:r>
          </w:p>
        </w:tc>
        <w:tc>
          <w:tcPr>
            <w:tcW w:w="3185" w:type="dxa"/>
            <w:vAlign w:val="center"/>
          </w:tcPr>
          <w:p w14:paraId="2F2339C5">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52"/>
            </w:r>
            <w:r>
              <w:rPr>
                <w:rFonts w:hint="eastAsia"/>
                <w:color w:val="auto"/>
                <w:szCs w:val="22"/>
                <w:highlight w:val="none"/>
              </w:rPr>
              <w:t>首次申报项目</w:t>
            </w:r>
          </w:p>
          <w:p w14:paraId="756BF83B">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不予批准后再次申报项目</w:t>
            </w:r>
          </w:p>
          <w:p w14:paraId="4A1EDC14">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超五年重新审核项目</w:t>
            </w:r>
          </w:p>
          <w:p w14:paraId="1CEDD3CB">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重大变动重新报批项目</w:t>
            </w:r>
          </w:p>
        </w:tc>
      </w:tr>
      <w:tr w14:paraId="5967A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542" w:type="dxa"/>
            <w:tcMar>
              <w:top w:w="16" w:type="dxa"/>
              <w:left w:w="16" w:type="dxa"/>
              <w:right w:w="16" w:type="dxa"/>
            </w:tcMar>
            <w:vAlign w:val="center"/>
          </w:tcPr>
          <w:p w14:paraId="1B1750A5">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项目审批（核准/备案）部门（选填）</w:t>
            </w:r>
          </w:p>
        </w:tc>
        <w:tc>
          <w:tcPr>
            <w:tcW w:w="2383" w:type="dxa"/>
            <w:vAlign w:val="center"/>
          </w:tcPr>
          <w:p w14:paraId="687D94F1">
            <w:pPr>
              <w:adjustRightInd w:val="0"/>
              <w:snapToGrid w:val="0"/>
              <w:spacing w:line="240" w:lineRule="auto"/>
              <w:ind w:firstLine="0" w:firstLineChars="0"/>
              <w:jc w:val="center"/>
              <w:rPr>
                <w:rFonts w:hint="eastAsia"/>
                <w:color w:val="auto"/>
                <w:szCs w:val="22"/>
                <w:highlight w:val="none"/>
                <w:lang w:val="en-US" w:eastAsia="zh-CN"/>
              </w:rPr>
            </w:pPr>
            <w:r>
              <w:rPr>
                <w:rFonts w:hint="eastAsia"/>
                <w:color w:val="auto"/>
                <w:szCs w:val="22"/>
                <w:highlight w:val="none"/>
                <w:lang w:val="en-US" w:eastAsia="zh-CN"/>
              </w:rPr>
              <w:t>南京江宁经济技术开发区管理委员会政务服务中心</w:t>
            </w:r>
          </w:p>
        </w:tc>
        <w:tc>
          <w:tcPr>
            <w:tcW w:w="1760" w:type="dxa"/>
            <w:vAlign w:val="center"/>
          </w:tcPr>
          <w:p w14:paraId="34C7DAF0">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项目审批（核准/备案）文号（选填）</w:t>
            </w:r>
          </w:p>
        </w:tc>
        <w:tc>
          <w:tcPr>
            <w:tcW w:w="3185" w:type="dxa"/>
            <w:vAlign w:val="center"/>
          </w:tcPr>
          <w:p w14:paraId="7226E68D">
            <w:pPr>
              <w:adjustRightInd w:val="0"/>
              <w:snapToGrid w:val="0"/>
              <w:spacing w:line="240" w:lineRule="auto"/>
              <w:ind w:firstLine="0" w:firstLineChars="0"/>
              <w:jc w:val="center"/>
              <w:rPr>
                <w:rFonts w:hint="eastAsia"/>
                <w:color w:val="auto"/>
                <w:szCs w:val="22"/>
                <w:highlight w:val="none"/>
                <w:lang w:val="en-US" w:eastAsia="zh-CN"/>
              </w:rPr>
            </w:pPr>
          </w:p>
        </w:tc>
      </w:tr>
      <w:tr w14:paraId="61BF2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42" w:type="dxa"/>
            <w:tcMar>
              <w:top w:w="16" w:type="dxa"/>
              <w:left w:w="16" w:type="dxa"/>
              <w:right w:w="16" w:type="dxa"/>
            </w:tcMar>
            <w:vAlign w:val="center"/>
          </w:tcPr>
          <w:p w14:paraId="7865EA11">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总投资（万元）</w:t>
            </w:r>
          </w:p>
        </w:tc>
        <w:tc>
          <w:tcPr>
            <w:tcW w:w="2383" w:type="dxa"/>
            <w:vAlign w:val="center"/>
          </w:tcPr>
          <w:p w14:paraId="78D1756D">
            <w:pPr>
              <w:adjustRightInd w:val="0"/>
              <w:snapToGrid w:val="0"/>
              <w:spacing w:line="240" w:lineRule="auto"/>
              <w:ind w:firstLine="0" w:firstLineChars="0"/>
              <w:jc w:val="center"/>
              <w:rPr>
                <w:rFonts w:hint="default"/>
                <w:color w:val="auto"/>
                <w:szCs w:val="22"/>
                <w:highlight w:val="none"/>
                <w:lang w:val="en-US" w:eastAsia="zh-CN"/>
              </w:rPr>
            </w:pPr>
            <w:r>
              <w:rPr>
                <w:rFonts w:hint="eastAsia"/>
                <w:color w:val="auto"/>
                <w:szCs w:val="22"/>
                <w:highlight w:val="none"/>
                <w:lang w:val="en-US" w:eastAsia="zh-CN"/>
              </w:rPr>
              <w:t>430</w:t>
            </w:r>
          </w:p>
        </w:tc>
        <w:tc>
          <w:tcPr>
            <w:tcW w:w="1760" w:type="dxa"/>
            <w:tcMar>
              <w:top w:w="16" w:type="dxa"/>
              <w:left w:w="16" w:type="dxa"/>
              <w:right w:w="16" w:type="dxa"/>
            </w:tcMar>
            <w:vAlign w:val="center"/>
          </w:tcPr>
          <w:p w14:paraId="1692BC21">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环保投资（万元）</w:t>
            </w:r>
          </w:p>
        </w:tc>
        <w:tc>
          <w:tcPr>
            <w:tcW w:w="3185" w:type="dxa"/>
            <w:vAlign w:val="center"/>
          </w:tcPr>
          <w:p w14:paraId="1647F643">
            <w:pPr>
              <w:adjustRightInd w:val="0"/>
              <w:snapToGrid w:val="0"/>
              <w:spacing w:line="240" w:lineRule="auto"/>
              <w:ind w:firstLine="0" w:firstLineChars="0"/>
              <w:jc w:val="center"/>
              <w:rPr>
                <w:rFonts w:hint="default"/>
                <w:color w:val="auto"/>
                <w:szCs w:val="22"/>
                <w:highlight w:val="none"/>
                <w:lang w:val="en-US" w:eastAsia="zh-CN"/>
              </w:rPr>
            </w:pPr>
            <w:r>
              <w:rPr>
                <w:rFonts w:hint="eastAsia"/>
                <w:color w:val="auto"/>
                <w:szCs w:val="22"/>
                <w:highlight w:val="none"/>
                <w:lang w:val="en-US" w:eastAsia="zh-CN"/>
              </w:rPr>
              <w:t>3</w:t>
            </w:r>
          </w:p>
        </w:tc>
      </w:tr>
      <w:tr w14:paraId="590D56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42" w:type="dxa"/>
            <w:tcMar>
              <w:top w:w="16" w:type="dxa"/>
              <w:left w:w="16" w:type="dxa"/>
              <w:right w:w="16" w:type="dxa"/>
            </w:tcMar>
            <w:vAlign w:val="center"/>
          </w:tcPr>
          <w:p w14:paraId="7DF9774E">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环保投资占比（%）</w:t>
            </w:r>
          </w:p>
        </w:tc>
        <w:tc>
          <w:tcPr>
            <w:tcW w:w="2383" w:type="dxa"/>
            <w:vAlign w:val="center"/>
          </w:tcPr>
          <w:p w14:paraId="6662F7E6">
            <w:pPr>
              <w:adjustRightInd w:val="0"/>
              <w:snapToGrid w:val="0"/>
              <w:spacing w:line="240" w:lineRule="auto"/>
              <w:ind w:firstLine="0" w:firstLineChars="0"/>
              <w:jc w:val="center"/>
              <w:rPr>
                <w:color w:val="auto"/>
                <w:szCs w:val="22"/>
                <w:highlight w:val="none"/>
              </w:rPr>
            </w:pPr>
            <w:r>
              <w:rPr>
                <w:rFonts w:hint="eastAsia"/>
                <w:color w:val="auto"/>
                <w:szCs w:val="22"/>
                <w:highlight w:val="none"/>
                <w:lang w:val="en-US" w:eastAsia="zh-CN"/>
              </w:rPr>
              <w:t>0.70</w:t>
            </w:r>
            <w:r>
              <w:rPr>
                <w:rFonts w:hint="eastAsia"/>
                <w:color w:val="auto"/>
                <w:szCs w:val="22"/>
                <w:highlight w:val="none"/>
              </w:rPr>
              <w:t>%</w:t>
            </w:r>
          </w:p>
        </w:tc>
        <w:tc>
          <w:tcPr>
            <w:tcW w:w="1760" w:type="dxa"/>
            <w:tcMar>
              <w:top w:w="16" w:type="dxa"/>
              <w:left w:w="16" w:type="dxa"/>
              <w:right w:w="16" w:type="dxa"/>
            </w:tcMar>
            <w:vAlign w:val="center"/>
          </w:tcPr>
          <w:p w14:paraId="7DCD2976">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施工工期</w:t>
            </w:r>
          </w:p>
        </w:tc>
        <w:tc>
          <w:tcPr>
            <w:tcW w:w="3185" w:type="dxa"/>
            <w:vAlign w:val="center"/>
          </w:tcPr>
          <w:p w14:paraId="42BC9E2F">
            <w:pPr>
              <w:adjustRightInd w:val="0"/>
              <w:snapToGrid w:val="0"/>
              <w:spacing w:line="240" w:lineRule="auto"/>
              <w:ind w:firstLine="0" w:firstLineChars="0"/>
              <w:jc w:val="center"/>
              <w:rPr>
                <w:color w:val="auto"/>
                <w:szCs w:val="22"/>
                <w:highlight w:val="none"/>
              </w:rPr>
            </w:pPr>
            <w:r>
              <w:rPr>
                <w:rFonts w:hint="eastAsia"/>
                <w:color w:val="auto"/>
                <w:szCs w:val="22"/>
                <w:highlight w:val="none"/>
                <w:lang w:val="en-US" w:eastAsia="zh-CN"/>
              </w:rPr>
              <w:t>3</w:t>
            </w:r>
            <w:r>
              <w:rPr>
                <w:rFonts w:hint="eastAsia"/>
                <w:color w:val="auto"/>
                <w:szCs w:val="22"/>
                <w:highlight w:val="none"/>
              </w:rPr>
              <w:t>个月</w:t>
            </w:r>
          </w:p>
        </w:tc>
      </w:tr>
      <w:tr w14:paraId="6D1A4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42" w:type="dxa"/>
            <w:tcMar>
              <w:top w:w="16" w:type="dxa"/>
              <w:left w:w="16" w:type="dxa"/>
              <w:right w:w="16" w:type="dxa"/>
            </w:tcMar>
            <w:vAlign w:val="center"/>
          </w:tcPr>
          <w:p w14:paraId="6FCBAFFC">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是否开工建设</w:t>
            </w:r>
          </w:p>
        </w:tc>
        <w:tc>
          <w:tcPr>
            <w:tcW w:w="2383" w:type="dxa"/>
            <w:vAlign w:val="center"/>
          </w:tcPr>
          <w:p w14:paraId="742B4F1B">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52"/>
            </w:r>
            <w:r>
              <w:rPr>
                <w:rFonts w:hint="eastAsia"/>
                <w:color w:val="auto"/>
                <w:szCs w:val="22"/>
                <w:highlight w:val="none"/>
              </w:rPr>
              <w:t>否</w:t>
            </w:r>
          </w:p>
          <w:p w14:paraId="3C86A2B0">
            <w:pPr>
              <w:adjustRightInd w:val="0"/>
              <w:snapToGrid w:val="0"/>
              <w:spacing w:line="240" w:lineRule="auto"/>
              <w:ind w:firstLine="0" w:firstLineChars="0"/>
              <w:jc w:val="left"/>
              <w:rPr>
                <w:color w:val="auto"/>
                <w:szCs w:val="22"/>
                <w:highlight w:val="none"/>
              </w:rPr>
            </w:pPr>
            <w:r>
              <w:rPr>
                <w:rFonts w:hint="eastAsia"/>
                <w:color w:val="auto"/>
                <w:szCs w:val="22"/>
                <w:highlight w:val="none"/>
              </w:rPr>
              <w:sym w:font="Wingdings 2" w:char="00A3"/>
            </w:r>
            <w:r>
              <w:rPr>
                <w:rFonts w:hint="eastAsia"/>
                <w:color w:val="auto"/>
                <w:szCs w:val="22"/>
                <w:highlight w:val="none"/>
              </w:rPr>
              <w:t>是：</w:t>
            </w:r>
          </w:p>
        </w:tc>
        <w:tc>
          <w:tcPr>
            <w:tcW w:w="1760" w:type="dxa"/>
            <w:tcMar>
              <w:top w:w="16" w:type="dxa"/>
              <w:left w:w="16" w:type="dxa"/>
              <w:right w:w="16" w:type="dxa"/>
            </w:tcMar>
            <w:vAlign w:val="center"/>
          </w:tcPr>
          <w:p w14:paraId="141C18BA">
            <w:pPr>
              <w:adjustRightInd w:val="0"/>
              <w:snapToGrid w:val="0"/>
              <w:spacing w:line="240" w:lineRule="auto"/>
              <w:ind w:firstLine="0" w:firstLineChars="0"/>
              <w:jc w:val="center"/>
              <w:rPr>
                <w:b/>
                <w:bCs/>
                <w:color w:val="auto"/>
                <w:szCs w:val="22"/>
                <w:highlight w:val="none"/>
              </w:rPr>
            </w:pPr>
            <w:r>
              <w:rPr>
                <w:rFonts w:hint="eastAsia"/>
                <w:b/>
                <w:bCs/>
                <w:color w:val="auto"/>
                <w:szCs w:val="22"/>
                <w:highlight w:val="none"/>
              </w:rPr>
              <w:t>用地面积（m</w:t>
            </w:r>
            <w:r>
              <w:rPr>
                <w:rFonts w:hint="eastAsia"/>
                <w:b/>
                <w:bCs/>
                <w:color w:val="auto"/>
                <w:szCs w:val="22"/>
                <w:highlight w:val="none"/>
                <w:vertAlign w:val="superscript"/>
              </w:rPr>
              <w:t>2</w:t>
            </w:r>
            <w:r>
              <w:rPr>
                <w:rFonts w:hint="eastAsia"/>
                <w:b/>
                <w:bCs/>
                <w:color w:val="auto"/>
                <w:szCs w:val="22"/>
                <w:highlight w:val="none"/>
              </w:rPr>
              <w:t>）</w:t>
            </w:r>
          </w:p>
        </w:tc>
        <w:tc>
          <w:tcPr>
            <w:tcW w:w="3185" w:type="dxa"/>
            <w:vAlign w:val="center"/>
          </w:tcPr>
          <w:p w14:paraId="14ED426F">
            <w:pPr>
              <w:adjustRightInd w:val="0"/>
              <w:snapToGrid w:val="0"/>
              <w:spacing w:line="240" w:lineRule="auto"/>
              <w:ind w:firstLine="0" w:firstLineChars="0"/>
              <w:jc w:val="center"/>
              <w:rPr>
                <w:rFonts w:hint="default" w:eastAsia="宋体"/>
                <w:color w:val="auto"/>
                <w:szCs w:val="22"/>
                <w:highlight w:val="none"/>
                <w:lang w:val="en-US" w:eastAsia="zh-CN"/>
              </w:rPr>
            </w:pPr>
            <w:r>
              <w:rPr>
                <w:rFonts w:hint="eastAsia"/>
                <w:color w:val="auto"/>
                <w:highlight w:val="none"/>
                <w:lang w:val="en-US" w:eastAsia="zh-CN"/>
              </w:rPr>
              <w:t>711.1m</w:t>
            </w:r>
            <w:r>
              <w:rPr>
                <w:rFonts w:hint="eastAsia"/>
                <w:color w:val="auto"/>
                <w:highlight w:val="none"/>
                <w:vertAlign w:val="superscript"/>
                <w:lang w:val="en-US" w:eastAsia="zh-CN"/>
              </w:rPr>
              <w:t>2</w:t>
            </w:r>
          </w:p>
        </w:tc>
      </w:tr>
      <w:tr w14:paraId="3C8567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2" w:type="dxa"/>
            <w:vAlign w:val="center"/>
          </w:tcPr>
          <w:p w14:paraId="24DEC3DF">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专项评价设置情况</w:t>
            </w:r>
          </w:p>
        </w:tc>
        <w:tc>
          <w:tcPr>
            <w:tcW w:w="7328" w:type="dxa"/>
            <w:gridSpan w:val="3"/>
            <w:vAlign w:val="center"/>
          </w:tcPr>
          <w:p w14:paraId="110D0BAB">
            <w:pPr>
              <w:ind w:firstLine="480"/>
              <w:rPr>
                <w:color w:val="auto"/>
                <w:kern w:val="0"/>
                <w:highlight w:val="none"/>
              </w:rPr>
            </w:pPr>
            <w:r>
              <w:rPr>
                <w:color w:val="auto"/>
                <w:highlight w:val="none"/>
              </w:rPr>
              <w:t>根据《建设项目环境影响报告表编制技术指南（污染影响类）》</w:t>
            </w:r>
            <w:bookmarkStart w:id="9" w:name="bkReivew3122014"/>
            <w:bookmarkEnd w:id="9"/>
            <w:r>
              <w:rPr>
                <w:color w:val="auto"/>
                <w:highlight w:val="none"/>
              </w:rPr>
              <w:t>相关要求，本项目</w:t>
            </w:r>
            <w:r>
              <w:rPr>
                <w:rFonts w:hint="eastAsia"/>
                <w:color w:val="auto"/>
                <w:highlight w:val="none"/>
                <w:lang w:eastAsia="zh-CN"/>
              </w:rPr>
              <w:t>无须设置</w:t>
            </w:r>
            <w:r>
              <w:rPr>
                <w:color w:val="auto"/>
                <w:highlight w:val="none"/>
              </w:rPr>
              <w:t>专项评价。</w:t>
            </w:r>
          </w:p>
        </w:tc>
      </w:tr>
      <w:tr w14:paraId="537BB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542" w:type="dxa"/>
            <w:vAlign w:val="center"/>
          </w:tcPr>
          <w:p w14:paraId="64EC04A7">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规划情况</w:t>
            </w:r>
          </w:p>
        </w:tc>
        <w:tc>
          <w:tcPr>
            <w:tcW w:w="7328" w:type="dxa"/>
            <w:gridSpan w:val="3"/>
            <w:vAlign w:val="center"/>
          </w:tcPr>
          <w:p w14:paraId="4D7B6B0F">
            <w:pPr>
              <w:ind w:firstLine="482"/>
              <w:rPr>
                <w:b w:val="0"/>
                <w:bCs w:val="0"/>
                <w:color w:val="auto"/>
                <w:highlight w:val="none"/>
              </w:rPr>
            </w:pPr>
            <w:r>
              <w:rPr>
                <w:rFonts w:hint="eastAsia"/>
                <w:b/>
                <w:bCs/>
                <w:color w:val="auto"/>
                <w:highlight w:val="none"/>
                <w:lang w:eastAsia="zh-CN"/>
              </w:rPr>
              <w:t>（</w:t>
            </w:r>
            <w:r>
              <w:rPr>
                <w:rFonts w:hint="eastAsia"/>
                <w:b/>
                <w:bCs/>
                <w:color w:val="auto"/>
                <w:highlight w:val="none"/>
                <w:lang w:val="en-US" w:eastAsia="zh-CN"/>
              </w:rPr>
              <w:t>1</w:t>
            </w:r>
            <w:r>
              <w:rPr>
                <w:rFonts w:hint="eastAsia"/>
                <w:b/>
                <w:bCs/>
                <w:color w:val="auto"/>
                <w:highlight w:val="none"/>
                <w:lang w:eastAsia="zh-CN"/>
              </w:rPr>
              <w:t>）</w:t>
            </w:r>
            <w:r>
              <w:rPr>
                <w:rFonts w:hint="eastAsia"/>
                <w:b/>
                <w:bCs/>
                <w:color w:val="auto"/>
                <w:highlight w:val="none"/>
              </w:rPr>
              <w:t>规划名称：</w:t>
            </w:r>
            <w:r>
              <w:rPr>
                <w:rFonts w:hint="eastAsia"/>
                <w:b w:val="0"/>
                <w:bCs w:val="0"/>
                <w:color w:val="auto"/>
                <w:highlight w:val="none"/>
              </w:rPr>
              <w:t>《江宁区陶吴片区工业集中区开发建设规划</w:t>
            </w:r>
            <w:r>
              <w:rPr>
                <w:rFonts w:hint="eastAsia"/>
                <w:b w:val="0"/>
                <w:bCs w:val="0"/>
                <w:color w:val="auto"/>
                <w:highlight w:val="none"/>
                <w:lang w:eastAsia="zh-CN"/>
              </w:rPr>
              <w:t>（</w:t>
            </w:r>
            <w:r>
              <w:rPr>
                <w:rFonts w:hint="eastAsia"/>
                <w:b w:val="0"/>
                <w:bCs w:val="0"/>
                <w:color w:val="auto"/>
                <w:highlight w:val="none"/>
              </w:rPr>
              <w:t>2022~2035</w:t>
            </w:r>
            <w:r>
              <w:rPr>
                <w:rFonts w:hint="eastAsia"/>
                <w:b w:val="0"/>
                <w:bCs w:val="0"/>
                <w:color w:val="auto"/>
                <w:highlight w:val="none"/>
                <w:lang w:eastAsia="zh-CN"/>
              </w:rPr>
              <w:t>）</w:t>
            </w:r>
            <w:r>
              <w:rPr>
                <w:rFonts w:hint="eastAsia"/>
                <w:b w:val="0"/>
                <w:bCs w:val="0"/>
                <w:color w:val="auto"/>
                <w:highlight w:val="none"/>
              </w:rPr>
              <w:t>》</w:t>
            </w:r>
          </w:p>
          <w:p w14:paraId="12C709F9">
            <w:pPr>
              <w:ind w:firstLine="482"/>
              <w:rPr>
                <w:color w:val="auto"/>
                <w:highlight w:val="none"/>
              </w:rPr>
            </w:pPr>
            <w:r>
              <w:rPr>
                <w:rFonts w:hint="eastAsia"/>
                <w:b/>
                <w:bCs/>
                <w:color w:val="auto"/>
                <w:highlight w:val="none"/>
              </w:rPr>
              <w:t>审批机关：</w:t>
            </w:r>
            <w:r>
              <w:rPr>
                <w:rFonts w:hint="default" w:ascii="Times New Roman" w:hAnsi="Times New Roman" w:eastAsia="宋体" w:cs="Times New Roman"/>
                <w:color w:val="auto"/>
                <w:szCs w:val="21"/>
                <w:highlight w:val="none"/>
              </w:rPr>
              <w:t>南京市人民政府</w:t>
            </w:r>
          </w:p>
          <w:p w14:paraId="78D66208">
            <w:pPr>
              <w:ind w:firstLine="482"/>
              <w:rPr>
                <w:rFonts w:hint="eastAsia"/>
                <w:color w:val="auto"/>
                <w:highlight w:val="none"/>
              </w:rPr>
            </w:pPr>
            <w:r>
              <w:rPr>
                <w:rFonts w:hint="eastAsia"/>
                <w:b/>
                <w:bCs/>
                <w:color w:val="auto"/>
                <w:highlight w:val="none"/>
              </w:rPr>
              <w:t>审批文件名称及文号：</w:t>
            </w:r>
            <w:r>
              <w:rPr>
                <w:rFonts w:hint="default" w:ascii="Times New Roman" w:hAnsi="Times New Roman" w:eastAsia="宋体" w:cs="Times New Roman"/>
                <w:color w:val="auto"/>
                <w:szCs w:val="21"/>
                <w:highlight w:val="none"/>
              </w:rPr>
              <w:t>宁政复〔2018〕120号</w:t>
            </w:r>
          </w:p>
          <w:p w14:paraId="7A177BC1">
            <w:pPr>
              <w:numPr>
                <w:ilvl w:val="0"/>
                <w:numId w:val="0"/>
              </w:numPr>
              <w:ind w:firstLine="482" w:firstLineChars="200"/>
              <w:rPr>
                <w:rFonts w:hint="eastAsia"/>
                <w:b/>
                <w:bCs/>
                <w:color w:val="auto"/>
                <w:highlight w:val="none"/>
                <w:lang w:eastAsia="zh-CN"/>
              </w:rPr>
            </w:pPr>
            <w:r>
              <w:rPr>
                <w:rFonts w:hint="eastAsia" w:ascii="Times New Roman" w:hAnsi="Times New Roman" w:eastAsia="宋体" w:cs="Times New Roman"/>
                <w:b/>
                <w:bCs/>
                <w:color w:val="auto"/>
                <w:kern w:val="2"/>
                <w:sz w:val="24"/>
                <w:szCs w:val="24"/>
                <w:highlight w:val="none"/>
                <w:lang w:val="en-US" w:eastAsia="zh-CN" w:bidi="ar-SA"/>
              </w:rPr>
              <w:t>（2）</w:t>
            </w:r>
            <w:r>
              <w:rPr>
                <w:rFonts w:hint="eastAsia"/>
                <w:b/>
                <w:bCs/>
                <w:color w:val="auto"/>
                <w:highlight w:val="none"/>
                <w:lang w:eastAsia="zh-CN"/>
              </w:rPr>
              <w:t>规划名称</w:t>
            </w:r>
            <w:r>
              <w:rPr>
                <w:rFonts w:hint="eastAsia"/>
                <w:b/>
                <w:bCs/>
                <w:color w:val="auto"/>
                <w:highlight w:val="none"/>
              </w:rPr>
              <w:t>：</w:t>
            </w:r>
            <w:r>
              <w:rPr>
                <w:rFonts w:hint="eastAsia"/>
                <w:b w:val="0"/>
                <w:bCs w:val="0"/>
                <w:color w:val="auto"/>
                <w:highlight w:val="none"/>
                <w:lang w:eastAsia="zh-CN"/>
              </w:rPr>
              <w:t>《南京市江宁区国土空间总体规划（2021</w:t>
            </w:r>
            <w:r>
              <w:rPr>
                <w:rFonts w:hint="eastAsia"/>
                <w:color w:val="auto"/>
                <w:highlight w:val="none"/>
              </w:rPr>
              <w:t>—</w:t>
            </w:r>
            <w:r>
              <w:rPr>
                <w:rFonts w:hint="eastAsia"/>
                <w:b w:val="0"/>
                <w:bCs w:val="0"/>
                <w:color w:val="auto"/>
                <w:highlight w:val="none"/>
                <w:lang w:eastAsia="zh-CN"/>
              </w:rPr>
              <w:t>2035年）》</w:t>
            </w:r>
          </w:p>
          <w:p w14:paraId="531C6666">
            <w:pPr>
              <w:numPr>
                <w:ilvl w:val="0"/>
                <w:numId w:val="0"/>
              </w:numPr>
              <w:ind w:firstLine="482" w:firstLineChars="200"/>
              <w:rPr>
                <w:rFonts w:hint="eastAsia"/>
                <w:b/>
                <w:bCs/>
                <w:color w:val="auto"/>
                <w:highlight w:val="none"/>
                <w:lang w:val="en-US" w:eastAsia="zh-CN"/>
              </w:rPr>
            </w:pPr>
            <w:r>
              <w:rPr>
                <w:rFonts w:hint="eastAsia"/>
                <w:b/>
                <w:bCs/>
                <w:color w:val="auto"/>
                <w:highlight w:val="none"/>
                <w:lang w:eastAsia="zh-CN"/>
              </w:rPr>
              <w:t>规划</w:t>
            </w:r>
            <w:r>
              <w:rPr>
                <w:rFonts w:hint="eastAsia"/>
                <w:b/>
                <w:bCs/>
                <w:color w:val="auto"/>
                <w:highlight w:val="none"/>
              </w:rPr>
              <w:t>审批机关</w:t>
            </w:r>
            <w:r>
              <w:rPr>
                <w:rFonts w:hint="eastAsia"/>
                <w:b/>
                <w:bCs/>
                <w:color w:val="auto"/>
                <w:highlight w:val="none"/>
                <w:lang w:eastAsia="zh-CN"/>
              </w:rPr>
              <w:t>：</w:t>
            </w:r>
            <w:r>
              <w:rPr>
                <w:rFonts w:hint="eastAsia"/>
                <w:b w:val="0"/>
                <w:bCs w:val="0"/>
                <w:color w:val="auto"/>
                <w:highlight w:val="none"/>
                <w:lang w:eastAsia="zh-CN"/>
              </w:rPr>
              <w:t>江苏省人民政府</w:t>
            </w:r>
          </w:p>
          <w:p w14:paraId="4994A96B">
            <w:pPr>
              <w:numPr>
                <w:ilvl w:val="0"/>
                <w:numId w:val="0"/>
              </w:numPr>
              <w:ind w:firstLine="482" w:firstLineChars="200"/>
              <w:rPr>
                <w:color w:val="auto"/>
                <w:highlight w:val="none"/>
              </w:rPr>
            </w:pPr>
            <w:r>
              <w:rPr>
                <w:rFonts w:hint="eastAsia"/>
                <w:b/>
                <w:bCs/>
                <w:color w:val="auto"/>
                <w:highlight w:val="none"/>
              </w:rPr>
              <w:t>审批文件名称及文号：</w:t>
            </w:r>
            <w:r>
              <w:rPr>
                <w:rFonts w:hint="eastAsia"/>
                <w:b w:val="0"/>
                <w:bCs w:val="0"/>
                <w:color w:val="auto"/>
                <w:highlight w:val="none"/>
                <w:lang w:eastAsia="zh-CN"/>
              </w:rPr>
              <w:t>苏政复〔2025〕3号</w:t>
            </w:r>
          </w:p>
        </w:tc>
      </w:tr>
      <w:tr w14:paraId="246F76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2" w:type="dxa"/>
            <w:vAlign w:val="center"/>
          </w:tcPr>
          <w:p w14:paraId="4D61D4F9">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规划环境影响评价情况</w:t>
            </w:r>
          </w:p>
        </w:tc>
        <w:tc>
          <w:tcPr>
            <w:tcW w:w="7328" w:type="dxa"/>
            <w:gridSpan w:val="3"/>
            <w:vAlign w:val="center"/>
          </w:tcPr>
          <w:p w14:paraId="3D343411">
            <w:pPr>
              <w:autoSpaceDE w:val="0"/>
              <w:autoSpaceDN w:val="0"/>
              <w:adjustRightInd w:val="0"/>
              <w:snapToGrid w:val="0"/>
              <w:ind w:firstLine="482"/>
              <w:jc w:val="left"/>
              <w:rPr>
                <w:b w:val="0"/>
                <w:bCs w:val="0"/>
                <w:color w:val="auto"/>
                <w:kern w:val="0"/>
                <w:highlight w:val="none"/>
              </w:rPr>
            </w:pPr>
            <w:r>
              <w:rPr>
                <w:b/>
                <w:bCs/>
                <w:color w:val="auto"/>
                <w:kern w:val="0"/>
                <w:highlight w:val="none"/>
              </w:rPr>
              <w:t>规划环境影响评价文件名称：</w:t>
            </w:r>
            <w:r>
              <w:rPr>
                <w:rFonts w:hint="default"/>
                <w:b w:val="0"/>
                <w:bCs w:val="0"/>
                <w:color w:val="auto"/>
                <w:kern w:val="0"/>
                <w:highlight w:val="none"/>
              </w:rPr>
              <w:t>《江宁区陶吴片区工业集中区开发建设规划（2022~2035）环境影响报告书》</w:t>
            </w:r>
          </w:p>
          <w:p w14:paraId="16BE4153">
            <w:pPr>
              <w:autoSpaceDE w:val="0"/>
              <w:autoSpaceDN w:val="0"/>
              <w:adjustRightInd w:val="0"/>
              <w:snapToGrid w:val="0"/>
              <w:ind w:firstLine="482"/>
              <w:jc w:val="left"/>
              <w:rPr>
                <w:b w:val="0"/>
                <w:bCs w:val="0"/>
                <w:color w:val="auto"/>
                <w:kern w:val="0"/>
                <w:highlight w:val="none"/>
              </w:rPr>
            </w:pPr>
            <w:r>
              <w:rPr>
                <w:b/>
                <w:bCs/>
                <w:color w:val="auto"/>
                <w:kern w:val="0"/>
                <w:highlight w:val="none"/>
              </w:rPr>
              <w:t>审查机关：</w:t>
            </w:r>
            <w:r>
              <w:rPr>
                <w:rFonts w:hint="default"/>
                <w:b w:val="0"/>
                <w:bCs w:val="0"/>
                <w:color w:val="auto"/>
                <w:kern w:val="0"/>
                <w:highlight w:val="none"/>
              </w:rPr>
              <w:t>南京市</w:t>
            </w:r>
            <w:sdt>
              <w:sdtPr>
                <w:rPr>
                  <w:color w:val="auto"/>
                </w:rPr>
                <w:alias w:val="语法错误"/>
                <w:tag w:val="reviewtag_FF0000"/>
                <w:id w:val="2151502"/>
              </w:sdtPr>
              <w:sdtEndPr>
                <w:rPr>
                  <w:color w:val="auto"/>
                </w:rPr>
              </w:sdtEndPr>
              <w:sdtContent>
                <w:bookmarkStart w:id="10" w:name="bkReivew2151502"/>
                <w:r>
                  <w:rPr>
                    <w:rFonts w:hint="default"/>
                    <w:b w:val="0"/>
                    <w:bCs w:val="0"/>
                    <w:color w:val="auto"/>
                    <w:kern w:val="0"/>
                    <w:highlight w:val="none"/>
                  </w:rPr>
                  <w:t>江宁</w:t>
                </w:r>
                <w:bookmarkEnd w:id="10"/>
              </w:sdtContent>
            </w:sdt>
            <w:r>
              <w:rPr>
                <w:rFonts w:hint="default"/>
                <w:b w:val="0"/>
                <w:bCs w:val="0"/>
                <w:color w:val="auto"/>
                <w:kern w:val="0"/>
                <w:highlight w:val="none"/>
              </w:rPr>
              <w:t>生态环境局</w:t>
            </w:r>
          </w:p>
          <w:p w14:paraId="1BDCDC21">
            <w:pPr>
              <w:autoSpaceDE w:val="0"/>
              <w:autoSpaceDN w:val="0"/>
              <w:adjustRightInd w:val="0"/>
              <w:snapToGrid w:val="0"/>
              <w:ind w:firstLine="482"/>
              <w:jc w:val="left"/>
              <w:rPr>
                <w:b w:val="0"/>
                <w:bCs w:val="0"/>
                <w:color w:val="auto"/>
                <w:kern w:val="0"/>
                <w:highlight w:val="none"/>
              </w:rPr>
            </w:pPr>
            <w:r>
              <w:rPr>
                <w:b/>
                <w:bCs/>
                <w:color w:val="auto"/>
                <w:kern w:val="0"/>
                <w:highlight w:val="none"/>
              </w:rPr>
              <w:t>审批文件名称：</w:t>
            </w:r>
            <w:r>
              <w:rPr>
                <w:rFonts w:hint="default"/>
                <w:b w:val="0"/>
                <w:bCs w:val="0"/>
                <w:color w:val="auto"/>
                <w:kern w:val="0"/>
                <w:highlight w:val="none"/>
              </w:rPr>
              <w:t>关于《江宁区陶吴片区工业集中区开发建设规划（2022~2035）环境影响报告书》的审查意见</w:t>
            </w:r>
          </w:p>
          <w:p w14:paraId="02F5A2B4">
            <w:pPr>
              <w:autoSpaceDE w:val="0"/>
              <w:autoSpaceDN w:val="0"/>
              <w:adjustRightInd w:val="0"/>
              <w:snapToGrid w:val="0"/>
              <w:ind w:firstLine="482"/>
              <w:jc w:val="left"/>
              <w:rPr>
                <w:color w:val="auto"/>
                <w:kern w:val="0"/>
                <w:highlight w:val="none"/>
              </w:rPr>
            </w:pPr>
            <w:r>
              <w:rPr>
                <w:b/>
                <w:bCs/>
                <w:color w:val="auto"/>
                <w:kern w:val="0"/>
                <w:highlight w:val="none"/>
              </w:rPr>
              <w:t>审批文号：</w:t>
            </w:r>
            <w:r>
              <w:rPr>
                <w:rFonts w:hint="default"/>
                <w:b w:val="0"/>
                <w:bCs w:val="0"/>
                <w:color w:val="auto"/>
                <w:kern w:val="0"/>
                <w:highlight w:val="none"/>
              </w:rPr>
              <w:t>江宁环建字〔2022〕2号</w:t>
            </w:r>
          </w:p>
        </w:tc>
      </w:tr>
      <w:tr w14:paraId="021DDB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542" w:type="dxa"/>
            <w:vAlign w:val="center"/>
          </w:tcPr>
          <w:p w14:paraId="6314C129">
            <w:pPr>
              <w:autoSpaceDE w:val="0"/>
              <w:autoSpaceDN w:val="0"/>
              <w:adjustRightInd w:val="0"/>
              <w:snapToGrid w:val="0"/>
              <w:spacing w:line="240" w:lineRule="auto"/>
              <w:ind w:firstLine="0" w:firstLineChars="0"/>
              <w:jc w:val="center"/>
              <w:rPr>
                <w:b/>
                <w:bCs/>
                <w:color w:val="auto"/>
                <w:kern w:val="0"/>
                <w:highlight w:val="none"/>
              </w:rPr>
            </w:pPr>
            <w:r>
              <w:rPr>
                <w:b/>
                <w:bCs/>
                <w:color w:val="auto"/>
                <w:kern w:val="0"/>
                <w:highlight w:val="none"/>
              </w:rPr>
              <w:t>规划及规划环境影响评价符合性分析</w:t>
            </w:r>
          </w:p>
        </w:tc>
        <w:tc>
          <w:tcPr>
            <w:tcW w:w="7328" w:type="dxa"/>
            <w:gridSpan w:val="3"/>
            <w:vAlign w:val="center"/>
          </w:tcPr>
          <w:p w14:paraId="1FD4AE66">
            <w:pPr>
              <w:pStyle w:val="53"/>
              <w:keepNext w:val="0"/>
              <w:keepLines w:val="0"/>
              <w:pageBreakBefore w:val="0"/>
              <w:widowControl w:val="0"/>
              <w:kinsoku/>
              <w:wordWrap/>
              <w:overflowPunct/>
              <w:topLinePunct w:val="0"/>
              <w:autoSpaceDE/>
              <w:autoSpaceDN/>
              <w:bidi w:val="0"/>
              <w:adjustRightInd/>
              <w:snapToGrid/>
              <w:spacing w:line="440" w:lineRule="exact"/>
              <w:ind w:left="0" w:right="0" w:firstLine="457"/>
              <w:jc w:val="left"/>
              <w:textAlignment w:val="auto"/>
              <w:rPr>
                <w:rFonts w:hint="default" w:ascii="Times New Roman" w:hAnsi="Times New Roman" w:eastAsia="宋体" w:cs="Times New Roman"/>
                <w:color w:val="auto"/>
                <w:kern w:val="2"/>
                <w:sz w:val="24"/>
                <w:szCs w:val="24"/>
                <w:highlight w:val="none"/>
                <w:lang w:val="en-US" w:eastAsia="zh-CN" w:bidi="ar-SA"/>
              </w:rPr>
            </w:pPr>
            <w:bookmarkStart w:id="11" w:name="_Hlk61892052"/>
            <w:r>
              <w:rPr>
                <w:rFonts w:hint="default" w:ascii="Times New Roman" w:hAnsi="Times New Roman" w:eastAsia="宋体" w:cs="Times New Roman"/>
                <w:color w:val="auto"/>
                <w:kern w:val="2"/>
                <w:sz w:val="24"/>
                <w:szCs w:val="24"/>
                <w:highlight w:val="none"/>
                <w:lang w:val="en-US" w:eastAsia="zh-CN" w:bidi="ar-SA"/>
              </w:rPr>
              <w:t>2018年，为推动中小工业集中区转型发展，江宁区印发《江宁区中小工业集中区转型发展改革实施方案》（江宁委办发〔2018〕102号），明确</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横溪街道陶吴工业集中区由江宁开发区托管进行产业更新</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2019年，南京空港经济开发区（江宁）管委会与横溪街道办签订《江宁开发区托管横溪街道陶吴工业集中区合作协议》，此后陶吴工业集中区纳入南京空港经济开发区管辖范围。本项目所在地位于江宁区横溪街道乐园路7号，属于陶吴工业集中区规划环评范围内，亦属于南京空港经济开发区管辖范围，由江宁经济技术开发区托管。</w:t>
            </w:r>
          </w:p>
          <w:p w14:paraId="2E433091">
            <w:pPr>
              <w:numPr>
                <w:ilvl w:val="0"/>
                <w:numId w:val="13"/>
              </w:numPr>
              <w:ind w:firstLine="482"/>
              <w:rPr>
                <w:b/>
                <w:bCs/>
                <w:color w:val="auto"/>
                <w:highlight w:val="none"/>
              </w:rPr>
            </w:pPr>
            <w:r>
              <w:rPr>
                <w:rFonts w:hint="eastAsia"/>
                <w:b/>
                <w:bCs/>
                <w:color w:val="auto"/>
                <w:highlight w:val="none"/>
              </w:rPr>
              <w:t>与土地利用规划相符性分析</w:t>
            </w:r>
          </w:p>
          <w:p w14:paraId="540F99AE">
            <w:pPr>
              <w:ind w:firstLine="480"/>
              <w:rPr>
                <w:rFonts w:hint="default" w:ascii="Times New Roman" w:hAnsi="Times New Roman" w:cs="Times New Roman"/>
                <w:color w:val="auto"/>
                <w:highlight w:val="none"/>
                <w:lang w:val="en-US" w:eastAsia="zh-CN"/>
              </w:rPr>
            </w:pPr>
            <w:r>
              <w:rPr>
                <w:color w:val="auto"/>
                <w:highlight w:val="none"/>
                <w:lang w:val="zh-CN"/>
              </w:rPr>
              <w:t>本项目位于</w:t>
            </w:r>
            <w:r>
              <w:rPr>
                <w:rFonts w:hint="eastAsia"/>
                <w:color w:val="auto"/>
                <w:highlight w:val="none"/>
                <w:lang w:val="zh-CN"/>
              </w:rPr>
              <w:t>南京市</w:t>
            </w:r>
            <w:r>
              <w:rPr>
                <w:rFonts w:hint="eastAsia"/>
                <w:color w:val="auto"/>
                <w:highlight w:val="none"/>
                <w:lang w:val="zh-CN" w:eastAsia="zh-CN"/>
              </w:rPr>
              <w:t>江宁经济技术开发区横溪街道乐园路7号</w:t>
            </w:r>
            <w:r>
              <w:rPr>
                <w:rFonts w:hint="eastAsia"/>
                <w:color w:val="auto"/>
                <w:highlight w:val="none"/>
                <w:lang w:val="en-US" w:eastAsia="zh-CN"/>
              </w:rPr>
              <w:t>厂房内</w:t>
            </w:r>
            <w:r>
              <w:rPr>
                <w:color w:val="auto"/>
                <w:highlight w:val="none"/>
                <w:lang w:val="zh-CN"/>
              </w:rPr>
              <w:t>，</w:t>
            </w:r>
            <w:r>
              <w:rPr>
                <w:rFonts w:hint="eastAsia"/>
                <w:color w:val="auto"/>
                <w:lang w:val="en-US" w:eastAsia="zh-CN"/>
              </w:rPr>
              <w:t>租赁南京空港新动能建设发展有限公司的</w:t>
            </w:r>
            <w:r>
              <w:rPr>
                <w:rFonts w:hint="eastAsia"/>
                <w:color w:val="auto"/>
                <w:lang w:val="en-US" w:eastAsia="zh-CN"/>
              </w:rPr>
              <w:t>3号楼1层的部分空置厂房</w:t>
            </w:r>
            <w:r>
              <w:rPr>
                <w:rFonts w:hint="eastAsia"/>
                <w:color w:val="auto"/>
                <w:lang w:val="en-US" w:eastAsia="zh-CN"/>
              </w:rPr>
              <w:t>进行生产。</w:t>
            </w:r>
            <w:r>
              <w:rPr>
                <w:rFonts w:hint="default" w:ascii="Times New Roman" w:hAnsi="Times New Roman" w:eastAsia="宋体" w:cs="Times New Roman"/>
                <w:color w:val="auto"/>
                <w:spacing w:val="-1"/>
                <w:lang w:eastAsia="zh-CN"/>
              </w:rPr>
              <w:t>根据《江宁区陶吴</w:t>
            </w:r>
            <w:r>
              <w:rPr>
                <w:rFonts w:hint="default" w:ascii="Times New Roman" w:hAnsi="Times New Roman" w:eastAsia="宋体" w:cs="Times New Roman"/>
                <w:color w:val="auto"/>
                <w:lang w:eastAsia="zh-CN"/>
              </w:rPr>
              <w:t>片区工业集中区开发建设规划（2022~2035）》并结</w:t>
            </w:r>
            <w:r>
              <w:rPr>
                <w:rFonts w:hint="default" w:ascii="Times New Roman" w:hAnsi="Times New Roman" w:cs="Times New Roman"/>
                <w:color w:val="auto"/>
                <w:lang w:val="en-US" w:eastAsia="zh-CN"/>
              </w:rPr>
              <w:t>合出租方提供的土地情况说明材料，项目用地性质为工业用地。</w:t>
            </w:r>
          </w:p>
          <w:p w14:paraId="4020E39B">
            <w:pPr>
              <w:ind w:firstLine="480"/>
              <w:rPr>
                <w:rFonts w:hint="eastAsia" w:ascii="Times New Roman" w:hAnsi="Times New Roman" w:cs="Times New Roman"/>
                <w:color w:val="auto"/>
                <w:kern w:val="0"/>
                <w:sz w:val="24"/>
                <w:highlight w:val="none"/>
                <w:lang w:eastAsia="zh-CN"/>
              </w:rPr>
            </w:pPr>
            <w:r>
              <w:rPr>
                <w:rFonts w:hint="default" w:ascii="Times New Roman" w:hAnsi="Times New Roman" w:eastAsia="宋体" w:cs="Times New Roman"/>
                <w:color w:val="auto"/>
                <w:spacing w:val="-1"/>
                <w:highlight w:val="none"/>
                <w:lang w:eastAsia="zh-CN"/>
              </w:rPr>
              <w:t>综上所述，本项目用地符合国家相关</w:t>
            </w:r>
            <w:sdt>
              <w:sdtPr>
                <w:rPr>
                  <w:color w:val="auto"/>
                </w:rPr>
                <w:alias w:val="语法错误"/>
                <w:tag w:val="reviewtag_0000FF"/>
                <w:id w:val="31050"/>
              </w:sdtPr>
              <w:sdtEndPr>
                <w:rPr>
                  <w:color w:val="auto"/>
                </w:rPr>
              </w:sdtEndPr>
              <w:sdtContent>
                <w:bookmarkStart w:id="12" w:name="bkReivew31050"/>
                <w:r>
                  <w:rPr>
                    <w:rFonts w:hint="default" w:ascii="Times New Roman" w:hAnsi="Times New Roman" w:eastAsia="宋体" w:cs="Times New Roman"/>
                    <w:color w:val="auto"/>
                    <w:spacing w:val="-1"/>
                    <w:highlight w:val="none"/>
                    <w:lang w:eastAsia="zh-CN"/>
                  </w:rPr>
                  <w:t>用地</w:t>
                </w:r>
                <w:bookmarkEnd w:id="12"/>
              </w:sdtContent>
            </w:sdt>
            <w:r>
              <w:rPr>
                <w:rFonts w:hint="default" w:ascii="Times New Roman" w:hAnsi="Times New Roman" w:eastAsia="宋体" w:cs="Times New Roman"/>
                <w:color w:val="auto"/>
                <w:spacing w:val="-1"/>
                <w:highlight w:val="none"/>
                <w:lang w:eastAsia="zh-CN"/>
              </w:rPr>
              <w:t>政策</w:t>
            </w:r>
            <w:r>
              <w:rPr>
                <w:rFonts w:hint="eastAsia" w:ascii="Times New Roman" w:hAnsi="Times New Roman" w:cs="Times New Roman"/>
                <w:color w:val="auto"/>
                <w:kern w:val="0"/>
                <w:sz w:val="24"/>
                <w:highlight w:val="none"/>
                <w:lang w:eastAsia="zh-CN"/>
              </w:rPr>
              <w:t>。</w:t>
            </w:r>
          </w:p>
          <w:p w14:paraId="6536FDA6">
            <w:pPr>
              <w:numPr>
                <w:ilvl w:val="0"/>
                <w:numId w:val="13"/>
              </w:numPr>
              <w:ind w:left="0" w:leftChars="0" w:firstLine="482" w:firstLineChars="200"/>
              <w:rPr>
                <w:rFonts w:hint="eastAsia"/>
                <w:b/>
                <w:color w:val="auto"/>
                <w:sz w:val="24"/>
                <w:szCs w:val="22"/>
                <w:highlight w:val="none"/>
              </w:rPr>
            </w:pPr>
            <w:r>
              <w:rPr>
                <w:rFonts w:hint="eastAsia"/>
                <w:b/>
                <w:bCs/>
                <w:color w:val="auto"/>
                <w:highlight w:val="none"/>
              </w:rPr>
              <w:t>与</w:t>
            </w:r>
            <w:r>
              <w:rPr>
                <w:rFonts w:hint="eastAsia"/>
                <w:b/>
                <w:color w:val="auto"/>
                <w:sz w:val="24"/>
                <w:szCs w:val="22"/>
                <w:highlight w:val="none"/>
                <w:lang w:eastAsia="zh-CN"/>
              </w:rPr>
              <w:t>《南京市江宁区</w:t>
            </w:r>
            <w:r>
              <w:rPr>
                <w:rFonts w:hint="eastAsia"/>
                <w:b/>
                <w:color w:val="auto"/>
                <w:sz w:val="24"/>
                <w:szCs w:val="22"/>
                <w:highlight w:val="none"/>
              </w:rPr>
              <w:t>国土空间总体规划</w:t>
            </w:r>
            <w:r>
              <w:rPr>
                <w:rFonts w:hint="eastAsia"/>
                <w:b/>
                <w:color w:val="auto"/>
                <w:sz w:val="24"/>
                <w:szCs w:val="22"/>
                <w:highlight w:val="none"/>
                <w:lang w:eastAsia="zh-CN"/>
              </w:rPr>
              <w:t>（</w:t>
            </w:r>
            <w:r>
              <w:rPr>
                <w:rFonts w:hint="eastAsia"/>
                <w:b/>
                <w:color w:val="auto"/>
                <w:sz w:val="24"/>
                <w:szCs w:val="22"/>
                <w:highlight w:val="none"/>
              </w:rPr>
              <w:t>2021</w:t>
            </w:r>
            <w:r>
              <w:rPr>
                <w:rFonts w:hint="eastAsia"/>
                <w:b/>
                <w:color w:val="auto"/>
                <w:sz w:val="24"/>
                <w:szCs w:val="22"/>
                <w:highlight w:val="none"/>
                <w:lang w:eastAsia="zh-CN"/>
              </w:rPr>
              <w:t>—</w:t>
            </w:r>
            <w:r>
              <w:rPr>
                <w:rFonts w:hint="eastAsia"/>
                <w:b/>
                <w:color w:val="auto"/>
                <w:sz w:val="24"/>
                <w:szCs w:val="22"/>
                <w:highlight w:val="none"/>
              </w:rPr>
              <w:t>2035年</w:t>
            </w:r>
            <w:r>
              <w:rPr>
                <w:rFonts w:hint="eastAsia"/>
                <w:b/>
                <w:color w:val="auto"/>
                <w:sz w:val="24"/>
                <w:szCs w:val="22"/>
                <w:highlight w:val="none"/>
                <w:lang w:eastAsia="zh-CN"/>
              </w:rPr>
              <w:t>）》</w:t>
            </w:r>
            <w:r>
              <w:rPr>
                <w:rFonts w:hint="eastAsia"/>
                <w:b/>
                <w:bCs/>
                <w:color w:val="auto"/>
                <w:highlight w:val="none"/>
              </w:rPr>
              <w:t>相符性分析</w:t>
            </w:r>
          </w:p>
          <w:p w14:paraId="0E3B42B9">
            <w:pPr>
              <w:ind w:firstLine="480"/>
              <w:rPr>
                <w:color w:val="auto"/>
                <w:highlight w:val="none"/>
              </w:rPr>
            </w:pPr>
            <w:r>
              <w:rPr>
                <w:rFonts w:hint="eastAsia" w:ascii="Times New Roman" w:hAnsi="Times New Roman" w:eastAsia="宋体" w:cs="Times New Roman"/>
                <w:color w:val="auto"/>
                <w:kern w:val="0"/>
                <w:sz w:val="24"/>
                <w:highlight w:val="none"/>
                <w:lang w:val="zh-CN"/>
              </w:rPr>
              <w:t>本项目位于江苏省南京市</w:t>
            </w:r>
            <w:r>
              <w:rPr>
                <w:rFonts w:hint="eastAsia" w:ascii="Times New Roman" w:hAnsi="Times New Roman" w:eastAsia="宋体" w:cs="Times New Roman"/>
                <w:color w:val="auto"/>
                <w:kern w:val="0"/>
                <w:sz w:val="24"/>
                <w:highlight w:val="none"/>
                <w:lang w:val="zh-CN" w:eastAsia="zh-CN"/>
              </w:rPr>
              <w:t>江宁经济技术开发区横溪街道乐园路7号</w:t>
            </w:r>
            <w:r>
              <w:rPr>
                <w:rFonts w:hint="eastAsia" w:ascii="Times New Roman" w:hAnsi="Times New Roman" w:eastAsia="宋体" w:cs="Times New Roman"/>
                <w:color w:val="auto"/>
                <w:kern w:val="0"/>
                <w:sz w:val="24"/>
                <w:highlight w:val="none"/>
                <w:lang w:val="zh-CN"/>
              </w:rPr>
              <w:t>，</w:t>
            </w:r>
            <w:r>
              <w:rPr>
                <w:rFonts w:hint="eastAsia"/>
                <w:color w:val="auto"/>
                <w:highlight w:val="none"/>
                <w:lang w:val="en-US" w:eastAsia="zh-CN"/>
              </w:rPr>
              <w:t>本项目位于城镇开发边界控制线范围内，</w:t>
            </w:r>
            <w:r>
              <w:rPr>
                <w:rFonts w:hint="eastAsia" w:ascii="Times New Roman" w:hAnsi="Times New Roman" w:eastAsia="宋体" w:cs="Times New Roman"/>
                <w:color w:val="auto"/>
                <w:kern w:val="0"/>
                <w:sz w:val="24"/>
                <w:highlight w:val="none"/>
                <w:lang w:val="zh-CN"/>
              </w:rPr>
              <w:t>不占用永久基本农田保护红线及生态保护</w:t>
            </w:r>
            <w:r>
              <w:rPr>
                <w:rFonts w:hint="eastAsia" w:cs="Times New Roman"/>
                <w:color w:val="auto"/>
                <w:kern w:val="0"/>
                <w:sz w:val="24"/>
                <w:highlight w:val="none"/>
                <w:lang w:val="zh-CN"/>
              </w:rPr>
              <w:t>红线</w:t>
            </w:r>
            <w:r>
              <w:rPr>
                <w:rFonts w:hint="eastAsia" w:ascii="Times New Roman" w:hAnsi="Times New Roman" w:eastAsia="宋体" w:cs="Times New Roman"/>
                <w:color w:val="auto"/>
                <w:kern w:val="0"/>
                <w:sz w:val="24"/>
                <w:highlight w:val="none"/>
                <w:lang w:val="zh-CN"/>
              </w:rPr>
              <w:t>。</w:t>
            </w:r>
            <w:r>
              <w:rPr>
                <w:rFonts w:hint="eastAsia" w:ascii="Times New Roman" w:hAnsi="Times New Roman" w:eastAsia="宋体" w:cs="Times New Roman"/>
                <w:color w:val="auto"/>
                <w:kern w:val="0"/>
                <w:sz w:val="24"/>
                <w:highlight w:val="none"/>
                <w:lang w:val="zh-CN" w:eastAsia="zh-CN"/>
              </w:rPr>
              <w:t>因此，本项目的建设符合</w:t>
            </w:r>
            <w:r>
              <w:rPr>
                <w:rFonts w:hint="eastAsia" w:ascii="Times New Roman" w:hAnsi="Times New Roman" w:eastAsia="宋体" w:cs="Times New Roman"/>
                <w:color w:val="auto"/>
                <w:kern w:val="0"/>
                <w:sz w:val="24"/>
                <w:highlight w:val="none"/>
                <w:lang w:val="zh-CN"/>
              </w:rPr>
              <w:t>《南京市江宁区国土空间总体规划（2021</w:t>
            </w:r>
            <w:r>
              <w:rPr>
                <w:rFonts w:hint="eastAsia" w:ascii="Times New Roman" w:hAnsi="Times New Roman" w:eastAsia="宋体" w:cs="Times New Roman"/>
                <w:color w:val="auto"/>
                <w:kern w:val="0"/>
                <w:sz w:val="24"/>
                <w:highlight w:val="none"/>
                <w:lang w:val="zh-CN" w:eastAsia="zh-CN"/>
              </w:rPr>
              <w:t>—</w:t>
            </w:r>
            <w:r>
              <w:rPr>
                <w:rFonts w:hint="eastAsia" w:ascii="Times New Roman" w:hAnsi="Times New Roman" w:eastAsia="宋体" w:cs="Times New Roman"/>
                <w:color w:val="auto"/>
                <w:kern w:val="0"/>
                <w:sz w:val="24"/>
                <w:highlight w:val="none"/>
                <w:lang w:val="zh-CN"/>
              </w:rPr>
              <w:t>2035年）》</w:t>
            </w:r>
            <w:r>
              <w:rPr>
                <w:rFonts w:hint="eastAsia" w:ascii="Times New Roman" w:hAnsi="Times New Roman" w:eastAsia="宋体" w:cs="Times New Roman"/>
                <w:color w:val="auto"/>
                <w:kern w:val="0"/>
                <w:sz w:val="24"/>
                <w:highlight w:val="none"/>
                <w:lang w:val="zh-CN" w:eastAsia="zh-CN"/>
              </w:rPr>
              <w:t>要求</w:t>
            </w:r>
            <w:r>
              <w:rPr>
                <w:rFonts w:hint="eastAsia" w:ascii="Times New Roman" w:hAnsi="Times New Roman" w:eastAsia="宋体" w:cs="Times New Roman"/>
                <w:color w:val="auto"/>
                <w:kern w:val="0"/>
                <w:sz w:val="24"/>
                <w:highlight w:val="none"/>
                <w:lang w:val="zh-CN"/>
              </w:rPr>
              <w:t>。</w:t>
            </w:r>
          </w:p>
          <w:bookmarkEnd w:id="11"/>
          <w:p w14:paraId="7DC56F36">
            <w:pPr>
              <w:ind w:firstLine="480"/>
              <w:rPr>
                <w:color w:val="auto"/>
                <w:highlight w:val="none"/>
              </w:rPr>
            </w:pPr>
          </w:p>
          <w:p w14:paraId="3D9502FC">
            <w:pPr>
              <w:ind w:firstLine="480"/>
              <w:rPr>
                <w:color w:val="auto"/>
                <w:highlight w:val="none"/>
              </w:rPr>
            </w:pPr>
          </w:p>
        </w:tc>
      </w:tr>
    </w:tbl>
    <w:p w14:paraId="42038A64">
      <w:pPr>
        <w:ind w:firstLine="480"/>
        <w:rPr>
          <w:color w:val="auto"/>
          <w:highlight w:val="none"/>
        </w:rPr>
      </w:pPr>
    </w:p>
    <w:p w14:paraId="637BAC6C">
      <w:pPr>
        <w:ind w:firstLine="480"/>
        <w:rPr>
          <w:color w:val="auto"/>
          <w:sz w:val="21"/>
          <w:szCs w:val="21"/>
          <w:highlight w:val="none"/>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bookmarkStart w:id="13" w:name="pindex110"/>
      <w:bookmarkEnd w:id="13"/>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2838"/>
      </w:tblGrid>
      <w:tr w14:paraId="7A57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 w:type="pct"/>
            <w:vAlign w:val="center"/>
          </w:tcPr>
          <w:p w14:paraId="0D47EEA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color w:val="auto"/>
                <w:highlight w:val="none"/>
                <w:vertAlign w:val="baseline"/>
              </w:rPr>
            </w:pPr>
            <w:r>
              <w:rPr>
                <w:b/>
                <w:bCs/>
                <w:color w:val="auto"/>
                <w:kern w:val="0"/>
                <w:highlight w:val="none"/>
              </w:rPr>
              <w:t>规划及规划环境影响评价符合性分析</w:t>
            </w:r>
          </w:p>
        </w:tc>
        <w:tc>
          <w:tcPr>
            <w:tcW w:w="4780" w:type="pct"/>
          </w:tcPr>
          <w:p w14:paraId="1E39B65A">
            <w:pPr>
              <w:numPr>
                <w:ilvl w:val="0"/>
                <w:numId w:val="13"/>
              </w:numPr>
              <w:ind w:left="0" w:leftChars="0" w:firstLine="482" w:firstLineChars="200"/>
              <w:rPr>
                <w:b/>
                <w:bCs/>
                <w:color w:val="auto"/>
                <w:highlight w:val="none"/>
              </w:rPr>
            </w:pPr>
            <w:r>
              <w:rPr>
                <w:rFonts w:hint="eastAsia"/>
                <w:b/>
                <w:bCs/>
                <w:color w:val="auto"/>
                <w:highlight w:val="none"/>
              </w:rPr>
              <w:t>与规划环评</w:t>
            </w:r>
            <w:r>
              <w:rPr>
                <w:rFonts w:hint="eastAsia"/>
                <w:b/>
                <w:bCs/>
                <w:color w:val="auto"/>
                <w:highlight w:val="none"/>
                <w:lang w:val="en-US" w:eastAsia="zh-CN"/>
              </w:rPr>
              <w:t>生态环境准入清单</w:t>
            </w:r>
            <w:r>
              <w:rPr>
                <w:rFonts w:hint="eastAsia"/>
                <w:b/>
                <w:bCs/>
                <w:color w:val="auto"/>
                <w:highlight w:val="none"/>
              </w:rPr>
              <w:t>相符性分析</w:t>
            </w:r>
          </w:p>
          <w:p w14:paraId="41B9D087">
            <w:pPr>
              <w:ind w:firstLine="480"/>
              <w:rPr>
                <w:rFonts w:hint="eastAsia"/>
                <w:color w:val="auto"/>
                <w:kern w:val="0"/>
                <w:highlight w:val="none"/>
                <w:lang w:eastAsia="zh-CN"/>
              </w:rPr>
            </w:pPr>
            <w:r>
              <w:rPr>
                <w:rFonts w:hint="default" w:ascii="Times New Roman" w:hAnsi="Times New Roman" w:eastAsia="宋体" w:cs="Times New Roman"/>
                <w:color w:val="auto"/>
                <w:highlight w:val="none"/>
                <w:lang w:eastAsia="zh-CN"/>
              </w:rPr>
              <w:t>对照《江宁区陶吴片区工业集中区开发建设规划（20</w:t>
            </w:r>
            <w:r>
              <w:rPr>
                <w:rFonts w:hint="default" w:ascii="Times New Roman" w:hAnsi="Times New Roman" w:eastAsia="宋体" w:cs="Times New Roman"/>
                <w:color w:val="auto"/>
                <w:spacing w:val="-1"/>
                <w:highlight w:val="none"/>
                <w:lang w:eastAsia="zh-CN"/>
              </w:rPr>
              <w:t>22-2035）环境影响报告书》审查意见</w:t>
            </w:r>
            <w:r>
              <w:rPr>
                <w:rFonts w:hint="eastAsia" w:cs="Times New Roman"/>
                <w:color w:val="auto"/>
                <w:spacing w:val="-1"/>
                <w:highlight w:val="none"/>
                <w:lang w:val="en-US" w:eastAsia="zh-CN"/>
              </w:rPr>
              <w:t>的生态环境准入清单</w:t>
            </w:r>
            <w:r>
              <w:rPr>
                <w:rFonts w:hint="eastAsia" w:ascii="Times New Roman" w:hAnsi="Times New Roman" w:cs="Times New Roman"/>
                <w:color w:val="auto"/>
                <w:spacing w:val="-1"/>
                <w:highlight w:val="none"/>
                <w:lang w:eastAsia="zh-CN"/>
              </w:rPr>
              <w:t>，</w:t>
            </w:r>
            <w:r>
              <w:rPr>
                <w:rFonts w:hint="eastAsia" w:ascii="Times New Roman" w:hAnsi="Times New Roman" w:cs="Times New Roman"/>
                <w:color w:val="auto"/>
                <w:spacing w:val="-1"/>
                <w:highlight w:val="none"/>
                <w:lang w:val="en-US" w:eastAsia="zh-CN"/>
              </w:rPr>
              <w:t>本项目相符性分析如下</w:t>
            </w:r>
            <w:r>
              <w:rPr>
                <w:rFonts w:hint="eastAsia"/>
                <w:color w:val="auto"/>
                <w:kern w:val="0"/>
                <w:highlight w:val="none"/>
                <w:lang w:eastAsia="zh-CN"/>
              </w:rPr>
              <w:t>：</w:t>
            </w:r>
          </w:p>
          <w:p w14:paraId="59A72128">
            <w:pPr>
              <w:pStyle w:val="49"/>
              <w:ind w:firstLine="482"/>
              <w:rPr>
                <w:color w:val="auto"/>
                <w:highlight w:val="none"/>
              </w:rPr>
            </w:pPr>
            <w:r>
              <w:rPr>
                <w:color w:val="auto"/>
                <w:highlight w:val="none"/>
              </w:rPr>
              <w:t>本项目建设与</w:t>
            </w:r>
            <w:r>
              <w:rPr>
                <w:rFonts w:hint="default" w:ascii="Times New Roman" w:hAnsi="Times New Roman" w:eastAsia="宋体" w:cs="Times New Roman"/>
                <w:b/>
                <w:bCs/>
                <w:color w:val="auto"/>
                <w:spacing w:val="-3"/>
                <w:highlight w:val="none"/>
              </w:rPr>
              <w:t>陶吴片区工业集中区</w:t>
            </w:r>
            <w:r>
              <w:rPr>
                <w:rFonts w:hint="eastAsia" w:cs="Times New Roman"/>
                <w:b/>
                <w:bCs/>
                <w:color w:val="auto"/>
                <w:spacing w:val="-3"/>
                <w:highlight w:val="none"/>
                <w:lang w:val="en-US" w:eastAsia="zh-CN"/>
              </w:rPr>
              <w:t>生态环境准入清单</w:t>
            </w:r>
            <w:r>
              <w:rPr>
                <w:color w:val="auto"/>
                <w:highlight w:val="none"/>
              </w:rPr>
              <w:t>相符</w:t>
            </w:r>
            <w:sdt>
              <w:sdtPr>
                <w:rPr>
                  <w:color w:val="auto"/>
                </w:rPr>
                <w:alias w:val="语法错误"/>
                <w:tag w:val="reviewtag_FF0000"/>
                <w:id w:val="1020625"/>
              </w:sdtPr>
              <w:sdtEndPr>
                <w:rPr>
                  <w:color w:val="auto"/>
                </w:rPr>
              </w:sdtEndPr>
              <w:sdtContent>
                <w:bookmarkStart w:id="14" w:name="bkReivew1020625"/>
                <w:r>
                  <w:rPr>
                    <w:color w:val="auto"/>
                    <w:highlight w:val="none"/>
                  </w:rPr>
                  <w:t>性</w:t>
                </w:r>
                <w:bookmarkEnd w:id="14"/>
                <w:r>
                  <w:rPr>
                    <w:rFonts w:hint="eastAsia"/>
                    <w:color w:val="auto"/>
                    <w:highlight w:val="none"/>
                    <w:lang w:val="en-US" w:eastAsia="zh-CN"/>
                  </w:rPr>
                  <w:t>分析</w:t>
                </w:r>
              </w:sdtContent>
            </w:sdt>
          </w:p>
          <w:tbl>
            <w:tblPr>
              <w:tblStyle w:val="33"/>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7149"/>
              <w:gridCol w:w="4090"/>
              <w:gridCol w:w="704"/>
            </w:tblGrid>
            <w:tr w14:paraId="11413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07EF6A75">
                  <w:pPr>
                    <w:pStyle w:val="48"/>
                    <w:tabs>
                      <w:tab w:val="left" w:pos="0"/>
                    </w:tabs>
                    <w:rPr>
                      <w:rFonts w:hint="eastAsia" w:eastAsia="宋体"/>
                      <w:b/>
                      <w:bCs/>
                      <w:color w:val="auto"/>
                      <w:highlight w:val="none"/>
                      <w:lang w:eastAsia="zh-CN"/>
                    </w:rPr>
                  </w:pPr>
                  <w:r>
                    <w:rPr>
                      <w:rFonts w:hint="eastAsia"/>
                      <w:b/>
                      <w:bCs/>
                      <w:color w:val="auto"/>
                      <w:highlight w:val="none"/>
                      <w:lang w:val="en-US" w:eastAsia="zh-CN"/>
                    </w:rPr>
                    <w:t>类别</w:t>
                  </w:r>
                </w:p>
              </w:tc>
              <w:tc>
                <w:tcPr>
                  <w:tcW w:w="2833" w:type="pct"/>
                  <w:tcBorders>
                    <w:tl2br w:val="nil"/>
                    <w:tr2bl w:val="nil"/>
                  </w:tcBorders>
                  <w:vAlign w:val="center"/>
                </w:tcPr>
                <w:p w14:paraId="3264A7A3">
                  <w:pPr>
                    <w:pStyle w:val="48"/>
                    <w:tabs>
                      <w:tab w:val="left" w:pos="0"/>
                    </w:tabs>
                    <w:rPr>
                      <w:b/>
                      <w:bCs/>
                      <w:color w:val="auto"/>
                      <w:highlight w:val="none"/>
                    </w:rPr>
                  </w:pPr>
                  <w:r>
                    <w:rPr>
                      <w:rFonts w:hint="eastAsia"/>
                      <w:b/>
                      <w:bCs/>
                      <w:color w:val="auto"/>
                      <w:highlight w:val="none"/>
                      <w:lang w:val="en-US" w:eastAsia="zh-CN"/>
                    </w:rPr>
                    <w:t>控制</w:t>
                  </w:r>
                  <w:r>
                    <w:rPr>
                      <w:b/>
                      <w:bCs/>
                      <w:color w:val="auto"/>
                      <w:highlight w:val="none"/>
                    </w:rPr>
                    <w:t>要求</w:t>
                  </w:r>
                </w:p>
              </w:tc>
              <w:tc>
                <w:tcPr>
                  <w:tcW w:w="1621" w:type="pct"/>
                  <w:tcBorders>
                    <w:tl2br w:val="nil"/>
                    <w:tr2bl w:val="nil"/>
                  </w:tcBorders>
                  <w:vAlign w:val="center"/>
                </w:tcPr>
                <w:p w14:paraId="2B7ECC23">
                  <w:pPr>
                    <w:pStyle w:val="48"/>
                    <w:tabs>
                      <w:tab w:val="left" w:pos="0"/>
                    </w:tabs>
                    <w:rPr>
                      <w:b/>
                      <w:bCs/>
                      <w:color w:val="auto"/>
                      <w:highlight w:val="none"/>
                    </w:rPr>
                  </w:pPr>
                  <w:r>
                    <w:rPr>
                      <w:b/>
                      <w:bCs/>
                      <w:color w:val="auto"/>
                      <w:highlight w:val="none"/>
                    </w:rPr>
                    <w:t>符合性分析</w:t>
                  </w:r>
                </w:p>
              </w:tc>
              <w:tc>
                <w:tcPr>
                  <w:tcW w:w="279" w:type="pct"/>
                  <w:tcBorders>
                    <w:tl2br w:val="nil"/>
                    <w:tr2bl w:val="nil"/>
                  </w:tcBorders>
                  <w:vAlign w:val="center"/>
                </w:tcPr>
                <w:p w14:paraId="32C3886E">
                  <w:pPr>
                    <w:pStyle w:val="48"/>
                    <w:tabs>
                      <w:tab w:val="left" w:pos="0"/>
                    </w:tabs>
                    <w:rPr>
                      <w:b/>
                      <w:bCs/>
                      <w:color w:val="auto"/>
                      <w:highlight w:val="none"/>
                    </w:rPr>
                  </w:pPr>
                  <w:r>
                    <w:rPr>
                      <w:b/>
                      <w:bCs/>
                      <w:color w:val="auto"/>
                      <w:highlight w:val="none"/>
                    </w:rPr>
                    <w:t>相符性</w:t>
                  </w:r>
                </w:p>
              </w:tc>
            </w:tr>
            <w:tr w14:paraId="28970C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5A481250">
                  <w:pPr>
                    <w:pStyle w:val="48"/>
                    <w:tabs>
                      <w:tab w:val="left" w:pos="0"/>
                    </w:tabs>
                    <w:rPr>
                      <w:rFonts w:hint="eastAsia" w:eastAsia="宋体"/>
                      <w:color w:val="auto"/>
                      <w:highlight w:val="none"/>
                      <w:lang w:val="en-US" w:eastAsia="zh-CN"/>
                    </w:rPr>
                  </w:pPr>
                  <w:r>
                    <w:rPr>
                      <w:rFonts w:hint="eastAsia"/>
                      <w:color w:val="auto"/>
                      <w:highlight w:val="none"/>
                      <w:lang w:val="en-US" w:eastAsia="zh-CN"/>
                    </w:rPr>
                    <w:t>产业定位</w:t>
                  </w:r>
                </w:p>
              </w:tc>
              <w:tc>
                <w:tcPr>
                  <w:tcW w:w="2833" w:type="pct"/>
                  <w:tcBorders>
                    <w:tl2br w:val="nil"/>
                    <w:tr2bl w:val="nil"/>
                  </w:tcBorders>
                  <w:vAlign w:val="center"/>
                </w:tcPr>
                <w:p w14:paraId="098AA360">
                  <w:pPr>
                    <w:pStyle w:val="48"/>
                    <w:tabs>
                      <w:tab w:val="left" w:pos="0"/>
                    </w:tabs>
                    <w:jc w:val="left"/>
                    <w:rPr>
                      <w:rFonts w:hint="default" w:eastAsia="宋体"/>
                      <w:color w:val="auto"/>
                      <w:highlight w:val="none"/>
                      <w:lang w:val="en-US" w:eastAsia="zh-CN"/>
                    </w:rPr>
                  </w:pPr>
                  <w:r>
                    <w:rPr>
                      <w:rFonts w:hint="eastAsia"/>
                      <w:color w:val="auto"/>
                      <w:highlight w:val="none"/>
                      <w:lang w:val="en-US" w:eastAsia="zh-CN"/>
                    </w:rPr>
                    <w:t>主导产业定位为高端装备制造、生命健康、现代物流等。</w:t>
                  </w:r>
                </w:p>
              </w:tc>
              <w:tc>
                <w:tcPr>
                  <w:tcW w:w="1621" w:type="pct"/>
                  <w:tcBorders>
                    <w:tl2br w:val="nil"/>
                    <w:tr2bl w:val="nil"/>
                  </w:tcBorders>
                  <w:vAlign w:val="center"/>
                </w:tcPr>
                <w:p w14:paraId="06D51002">
                  <w:pPr>
                    <w:pStyle w:val="48"/>
                    <w:tabs>
                      <w:tab w:val="left" w:pos="0"/>
                    </w:tabs>
                    <w:rPr>
                      <w:rFonts w:hint="default" w:eastAsia="宋体"/>
                      <w:color w:val="auto"/>
                      <w:highlight w:val="none"/>
                      <w:lang w:val="en-US" w:eastAsia="zh-CN"/>
                    </w:rPr>
                  </w:pPr>
                  <w:r>
                    <w:rPr>
                      <w:rFonts w:hint="eastAsia"/>
                      <w:color w:val="auto"/>
                      <w:highlight w:val="none"/>
                      <w:lang w:val="en-US" w:eastAsia="zh-CN"/>
                    </w:rPr>
                    <w:t>本项目为移动电源设备生产项目，属于其他智能消费设备制造，属于陶吴片区工业集中区允许类建设项目</w:t>
                  </w:r>
                </w:p>
              </w:tc>
              <w:tc>
                <w:tcPr>
                  <w:tcW w:w="279" w:type="pct"/>
                  <w:tcBorders>
                    <w:tl2br w:val="nil"/>
                    <w:tr2bl w:val="nil"/>
                  </w:tcBorders>
                  <w:vAlign w:val="center"/>
                </w:tcPr>
                <w:p w14:paraId="0C474CEC">
                  <w:pPr>
                    <w:pStyle w:val="48"/>
                    <w:tabs>
                      <w:tab w:val="left" w:pos="0"/>
                    </w:tabs>
                    <w:rPr>
                      <w:rFonts w:hint="eastAsia" w:eastAsia="宋体"/>
                      <w:color w:val="auto"/>
                      <w:highlight w:val="none"/>
                      <w:lang w:val="en-US" w:eastAsia="zh-CN"/>
                    </w:rPr>
                  </w:pPr>
                  <w:r>
                    <w:rPr>
                      <w:rFonts w:hint="eastAsia"/>
                      <w:color w:val="auto"/>
                      <w:highlight w:val="none"/>
                      <w:lang w:val="en-US" w:eastAsia="zh-CN"/>
                    </w:rPr>
                    <w:t>相符</w:t>
                  </w:r>
                </w:p>
              </w:tc>
            </w:tr>
            <w:tr w14:paraId="04F9D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6F74FE6D">
                  <w:pPr>
                    <w:pStyle w:val="48"/>
                    <w:tabs>
                      <w:tab w:val="left" w:pos="0"/>
                    </w:tabs>
                    <w:rPr>
                      <w:rFonts w:hint="eastAsia"/>
                      <w:color w:val="auto"/>
                      <w:highlight w:val="none"/>
                      <w:lang w:val="en-US" w:eastAsia="zh-CN"/>
                    </w:rPr>
                  </w:pPr>
                  <w:r>
                    <w:rPr>
                      <w:rFonts w:hint="eastAsia"/>
                      <w:color w:val="auto"/>
                      <w:highlight w:val="none"/>
                      <w:lang w:val="en-US" w:eastAsia="zh-CN"/>
                    </w:rPr>
                    <w:t>鼓励引入</w:t>
                  </w:r>
                </w:p>
              </w:tc>
              <w:tc>
                <w:tcPr>
                  <w:tcW w:w="2833" w:type="pct"/>
                  <w:tcBorders>
                    <w:tl2br w:val="nil"/>
                    <w:tr2bl w:val="nil"/>
                  </w:tcBorders>
                  <w:vAlign w:val="center"/>
                </w:tcPr>
                <w:p w14:paraId="39211A6C">
                  <w:pPr>
                    <w:pStyle w:val="48"/>
                    <w:tabs>
                      <w:tab w:val="left" w:pos="0"/>
                    </w:tabs>
                    <w:jc w:val="left"/>
                    <w:rPr>
                      <w:rFonts w:hint="eastAsia"/>
                      <w:color w:val="auto"/>
                      <w:highlight w:val="none"/>
                      <w:lang w:val="en-US" w:eastAsia="zh-CN"/>
                    </w:rPr>
                  </w:pPr>
                  <w:r>
                    <w:rPr>
                      <w:rFonts w:hint="eastAsia"/>
                      <w:color w:val="auto"/>
                      <w:highlight w:val="none"/>
                      <w:lang w:val="en-US" w:eastAsia="zh-CN"/>
                    </w:rPr>
                    <w:t>1、符合产业定位且属于国家</w:t>
                  </w:r>
                  <w:sdt>
                    <w:sdtPr>
                      <w:rPr>
                        <w:color w:val="auto"/>
                      </w:rPr>
                      <w:alias w:val="涉政用语错误"/>
                      <w:tag w:val="reviewtag_auto"/>
                      <w:id w:val="3130630"/>
                    </w:sdtPr>
                    <w:sdtEndPr>
                      <w:rPr>
                        <w:color w:val="auto"/>
                      </w:rPr>
                    </w:sdtEndPr>
                    <w:sdtContent>
                      <w:bookmarkStart w:id="15" w:name="bkReivew3130630"/>
                      <w:r>
                        <w:rPr>
                          <w:rFonts w:hint="eastAsia"/>
                          <w:color w:val="auto"/>
                          <w:highlight w:val="none"/>
                          <w:lang w:val="en-US" w:eastAsia="zh-CN"/>
                        </w:rPr>
                        <w:t>发展和改革委</w:t>
                      </w:r>
                      <w:bookmarkEnd w:id="15"/>
                    </w:sdtContent>
                  </w:sdt>
                  <w:r>
                    <w:rPr>
                      <w:rFonts w:hint="eastAsia"/>
                      <w:color w:val="auto"/>
                      <w:highlight w:val="none"/>
                      <w:lang w:val="en-US" w:eastAsia="zh-CN"/>
                    </w:rPr>
                    <w:t>《产业结构调整指导目录（2019年本）》《〈中国制造2025〉重点领域技术路线图（2015年版）》《鼓励外商投资产业目录（2020年版）》《战略性新兴产业重点产品和服务指导目录（2016）》《产业发展与转移指导目录（2018年本）》等产业政策文件中属于鼓励类和重点发展行业中的产品、工艺和技术。</w:t>
                  </w:r>
                </w:p>
                <w:p w14:paraId="17AAF366">
                  <w:pPr>
                    <w:pStyle w:val="48"/>
                    <w:tabs>
                      <w:tab w:val="left" w:pos="0"/>
                    </w:tabs>
                    <w:jc w:val="left"/>
                    <w:rPr>
                      <w:rFonts w:hint="eastAsia"/>
                      <w:color w:val="auto"/>
                      <w:highlight w:val="none"/>
                      <w:lang w:val="en-US" w:eastAsia="zh-CN"/>
                    </w:rPr>
                  </w:pPr>
                  <w:r>
                    <w:rPr>
                      <w:rFonts w:hint="eastAsia"/>
                      <w:color w:val="auto"/>
                      <w:highlight w:val="none"/>
                      <w:lang w:val="en-US" w:eastAsia="zh-CN"/>
                    </w:rPr>
                    <w:t>2、引进的项目生产工艺、装备技术、清洁生产水平等应达到同行业先进水平，优先引进资源能源消耗小、污染物排放少、产品附加值高的工艺技术、产品或项目。</w:t>
                  </w:r>
                </w:p>
                <w:p w14:paraId="7F67A315">
                  <w:pPr>
                    <w:pStyle w:val="48"/>
                    <w:tabs>
                      <w:tab w:val="left" w:pos="0"/>
                    </w:tabs>
                    <w:jc w:val="left"/>
                    <w:rPr>
                      <w:rFonts w:hint="eastAsia"/>
                      <w:color w:val="auto"/>
                      <w:highlight w:val="none"/>
                      <w:lang w:val="en-US" w:eastAsia="zh-CN"/>
                    </w:rPr>
                  </w:pPr>
                  <w:r>
                    <w:rPr>
                      <w:rFonts w:hint="eastAsia"/>
                      <w:color w:val="auto"/>
                      <w:highlight w:val="none"/>
                      <w:lang w:val="en-US" w:eastAsia="zh-CN"/>
                    </w:rPr>
                    <w:t>3、符合产业定位的区域发展需要的项目，高性能、技术含量高的关键性、基础性、资源优势性</w:t>
                  </w:r>
                  <w:sdt>
                    <w:sdtPr>
                      <w:rPr>
                        <w:color w:val="auto"/>
                      </w:rPr>
                      <w:alias w:val="语法错误"/>
                      <w:tag w:val="reviewtag_auto"/>
                      <w:id w:val="3023606"/>
                    </w:sdtPr>
                    <w:sdtEndPr>
                      <w:rPr>
                        <w:color w:val="auto"/>
                      </w:rPr>
                    </w:sdtEndPr>
                    <w:sdtContent>
                      <w:bookmarkStart w:id="16" w:name="bkReivew3023606"/>
                      <w:r>
                        <w:rPr>
                          <w:rFonts w:hint="eastAsia"/>
                          <w:color w:val="auto"/>
                          <w:highlight w:val="none"/>
                          <w:lang w:val="en-US" w:eastAsia="zh-CN"/>
                        </w:rPr>
                        <w:t>的</w:t>
                      </w:r>
                      <w:bookmarkEnd w:id="16"/>
                    </w:sdtContent>
                  </w:sdt>
                  <w:r>
                    <w:rPr>
                      <w:rFonts w:hint="eastAsia"/>
                      <w:color w:val="auto"/>
                      <w:highlight w:val="none"/>
                      <w:lang w:val="en-US" w:eastAsia="zh-CN"/>
                    </w:rPr>
                    <w:t>项目。</w:t>
                  </w:r>
                </w:p>
              </w:tc>
              <w:tc>
                <w:tcPr>
                  <w:tcW w:w="1621" w:type="pct"/>
                  <w:tcBorders>
                    <w:tl2br w:val="nil"/>
                    <w:tr2bl w:val="nil"/>
                  </w:tcBorders>
                  <w:vAlign w:val="center"/>
                </w:tcPr>
                <w:p w14:paraId="5B8D2F15">
                  <w:pPr>
                    <w:pStyle w:val="48"/>
                    <w:tabs>
                      <w:tab w:val="left" w:pos="0"/>
                    </w:tabs>
                    <w:rPr>
                      <w:rFonts w:hint="eastAsia"/>
                      <w:color w:val="auto"/>
                      <w:highlight w:val="none"/>
                      <w:lang w:val="en-US" w:eastAsia="zh-CN"/>
                    </w:rPr>
                  </w:pPr>
                  <w:r>
                    <w:rPr>
                      <w:rFonts w:hint="eastAsia"/>
                      <w:color w:val="auto"/>
                      <w:highlight w:val="none"/>
                      <w:lang w:val="en-US" w:eastAsia="zh-CN"/>
                    </w:rPr>
                    <w:t>1、本项目属于C3969其他智能消费设备制造，不属于《产业结构调整指导目录（2024年本）》中的限制类和淘汰类。</w:t>
                  </w:r>
                </w:p>
                <w:p w14:paraId="63C0DF6B">
                  <w:pPr>
                    <w:pStyle w:val="48"/>
                    <w:tabs>
                      <w:tab w:val="left" w:pos="0"/>
                    </w:tabs>
                    <w:rPr>
                      <w:rFonts w:hint="eastAsia"/>
                      <w:color w:val="auto"/>
                      <w:highlight w:val="none"/>
                      <w:lang w:val="en-US" w:eastAsia="zh-CN"/>
                    </w:rPr>
                  </w:pPr>
                  <w:r>
                    <w:rPr>
                      <w:rFonts w:hint="eastAsia"/>
                      <w:color w:val="auto"/>
                      <w:highlight w:val="none"/>
                      <w:lang w:val="en-US" w:eastAsia="zh-CN"/>
                    </w:rPr>
                    <w:t>2、本项目生产工艺、装备技术、清洁生产水平等可达到国际先进水平。</w:t>
                  </w:r>
                </w:p>
                <w:p w14:paraId="3D385A92">
                  <w:pPr>
                    <w:pStyle w:val="48"/>
                    <w:tabs>
                      <w:tab w:val="left" w:pos="0"/>
                    </w:tabs>
                    <w:rPr>
                      <w:rFonts w:hint="default"/>
                      <w:color w:val="auto"/>
                      <w:highlight w:val="none"/>
                      <w:lang w:val="en-US" w:eastAsia="zh-CN"/>
                    </w:rPr>
                  </w:pPr>
                  <w:r>
                    <w:rPr>
                      <w:rFonts w:hint="eastAsia"/>
                      <w:color w:val="auto"/>
                      <w:highlight w:val="none"/>
                      <w:lang w:val="en-US" w:eastAsia="zh-CN"/>
                    </w:rPr>
                    <w:t>3、本项目属于</w:t>
                  </w:r>
                  <w:sdt>
                    <w:sdtPr>
                      <w:rPr>
                        <w:color w:val="auto"/>
                      </w:rPr>
                      <w:alias w:val="语法错误"/>
                      <w:tag w:val="reviewtag_auto"/>
                      <w:id w:val="2052332"/>
                    </w:sdtPr>
                    <w:sdtEndPr>
                      <w:rPr>
                        <w:color w:val="auto"/>
                      </w:rPr>
                    </w:sdtEndPr>
                    <w:sdtContent>
                      <w:bookmarkStart w:id="17" w:name="bkReivew2052332"/>
                      <w:r>
                        <w:rPr>
                          <w:rFonts w:hint="eastAsia"/>
                          <w:color w:val="auto"/>
                          <w:highlight w:val="none"/>
                          <w:lang w:val="en-US" w:eastAsia="zh-CN"/>
                        </w:rPr>
                        <w:t>移动</w:t>
                      </w:r>
                      <w:bookmarkEnd w:id="17"/>
                    </w:sdtContent>
                  </w:sdt>
                  <w:r>
                    <w:rPr>
                      <w:rFonts w:hint="eastAsia"/>
                      <w:color w:val="auto"/>
                      <w:highlight w:val="none"/>
                      <w:lang w:val="en-US" w:eastAsia="zh-CN"/>
                    </w:rPr>
                    <w:t>电源设备生产项目，属于其他智能消费设备制造，符合工业集中区装备制造的产业定位。</w:t>
                  </w:r>
                </w:p>
              </w:tc>
              <w:tc>
                <w:tcPr>
                  <w:tcW w:w="279" w:type="pct"/>
                  <w:tcBorders>
                    <w:tl2br w:val="nil"/>
                    <w:tr2bl w:val="nil"/>
                  </w:tcBorders>
                  <w:vAlign w:val="center"/>
                </w:tcPr>
                <w:p w14:paraId="32857369">
                  <w:pPr>
                    <w:pStyle w:val="48"/>
                    <w:tabs>
                      <w:tab w:val="left" w:pos="0"/>
                    </w:tabs>
                    <w:rPr>
                      <w:rFonts w:hint="eastAsia"/>
                      <w:color w:val="auto"/>
                      <w:highlight w:val="none"/>
                    </w:rPr>
                  </w:pPr>
                  <w:r>
                    <w:rPr>
                      <w:rFonts w:hint="eastAsia"/>
                      <w:color w:val="auto"/>
                      <w:highlight w:val="none"/>
                      <w:lang w:val="en-US" w:eastAsia="zh-CN"/>
                    </w:rPr>
                    <w:t>相符</w:t>
                  </w:r>
                </w:p>
              </w:tc>
            </w:tr>
            <w:tr w14:paraId="57D8D2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3AFAC5D7">
                  <w:pPr>
                    <w:pStyle w:val="48"/>
                    <w:tabs>
                      <w:tab w:val="left" w:pos="0"/>
                    </w:tabs>
                    <w:rPr>
                      <w:rFonts w:hint="eastAsia"/>
                      <w:color w:val="auto"/>
                      <w:highlight w:val="none"/>
                      <w:lang w:val="en-US" w:eastAsia="zh-CN"/>
                    </w:rPr>
                  </w:pPr>
                  <w:r>
                    <w:rPr>
                      <w:rFonts w:hint="eastAsia"/>
                      <w:color w:val="auto"/>
                      <w:highlight w:val="none"/>
                      <w:lang w:val="en-US" w:eastAsia="zh-CN"/>
                    </w:rPr>
                    <w:t>禁止引入</w:t>
                  </w:r>
                </w:p>
              </w:tc>
              <w:tc>
                <w:tcPr>
                  <w:tcW w:w="2833" w:type="pct"/>
                  <w:tcBorders>
                    <w:tl2br w:val="nil"/>
                    <w:tr2bl w:val="nil"/>
                  </w:tcBorders>
                  <w:vAlign w:val="center"/>
                </w:tcPr>
                <w:p w14:paraId="374A2656">
                  <w:pPr>
                    <w:pStyle w:val="48"/>
                    <w:keepNext w:val="0"/>
                    <w:keepLines w:val="0"/>
                    <w:pageBreakBefore w:val="0"/>
                    <w:widowControl w:val="0"/>
                    <w:tabs>
                      <w:tab w:val="left" w:pos="0"/>
                    </w:tabs>
                    <w:kinsoku/>
                    <w:wordWrap/>
                    <w:overflowPunct/>
                    <w:topLinePunct w:val="0"/>
                    <w:autoSpaceDE/>
                    <w:autoSpaceDN/>
                    <w:bidi w:val="0"/>
                    <w:adjustRightInd w:val="0"/>
                    <w:snapToGrid w:val="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总体要求：严格执行《长江经济带发展负面清单指南（试行，2022年版）江苏省实施细则》《关于促进长三角地区经济社会与生态环境保护协调发展的指导意见》《南京市建设项目环境准入暂行规定》《江宁区建设项目环境准入“负面清单”（2020版）》等文件要求。禁止新建、扩建《产业结构调整指导目录（2019年本）》《江苏省产业结构调整限制、淘汰和禁止目录》明确的限制类、淘汰类、禁止类项目。禁止引入《环境保护综合名录（2021年版）》明确的“高污染、高环境风险”项目。禁止引入不符合江苏省及南京市管理要求的“两高”项目。</w:t>
                  </w:r>
                </w:p>
                <w:p w14:paraId="3463FDFE">
                  <w:pPr>
                    <w:pStyle w:val="48"/>
                    <w:keepNext w:val="0"/>
                    <w:keepLines w:val="0"/>
                    <w:pageBreakBefore w:val="0"/>
                    <w:widowControl w:val="0"/>
                    <w:tabs>
                      <w:tab w:val="left" w:pos="0"/>
                    </w:tabs>
                    <w:kinsoku/>
                    <w:wordWrap/>
                    <w:overflowPunct/>
                    <w:topLinePunct w:val="0"/>
                    <w:autoSpaceDE/>
                    <w:autoSpaceDN/>
                    <w:bidi w:val="0"/>
                    <w:adjustRightInd w:val="0"/>
                    <w:snapToGrid w:val="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高端装备制造：禁止单一金属表面处理及热处理加工项目；禁止引入涉及含氰电镀、含氰沉锌工艺的项目；禁止新增铸造产能项目，建设内容涉及铸造需满足产能置换要求；禁止酸性碳钢焊条制造项目；禁止影视录放设备制造。</w:t>
                  </w:r>
                </w:p>
                <w:p w14:paraId="3F4294BB">
                  <w:pPr>
                    <w:pStyle w:val="48"/>
                    <w:keepNext w:val="0"/>
                    <w:keepLines w:val="0"/>
                    <w:pageBreakBefore w:val="0"/>
                    <w:widowControl w:val="0"/>
                    <w:tabs>
                      <w:tab w:val="left" w:pos="0"/>
                    </w:tabs>
                    <w:kinsoku/>
                    <w:wordWrap/>
                    <w:overflowPunct/>
                    <w:topLinePunct w:val="0"/>
                    <w:autoSpaceDE/>
                    <w:autoSpaceDN/>
                    <w:bidi w:val="0"/>
                    <w:adjustRightInd w:val="0"/>
                    <w:snapToGrid w:val="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生命健康：禁止引进化学原药合成生产项目；禁止引入采用珍稀动植物生产中成药项目；</w:t>
                  </w:r>
                  <w:bookmarkStart w:id="18" w:name="sys1343940"/>
                  <w:r>
                    <w:rPr>
                      <w:rFonts w:hint="eastAsia"/>
                      <w:color w:val="auto"/>
                      <w:highlight w:val="none"/>
                      <w:lang w:val="en-US" w:eastAsia="zh-CN"/>
                    </w:rPr>
                    <w:t>禁止引入P3、P4生物安全实验室、转基因实验室等环境风险较大、污染重的研发项目；</w:t>
                  </w:r>
                  <w:bookmarkEnd w:id="18"/>
                  <w:r>
                    <w:rPr>
                      <w:rFonts w:hint="eastAsia"/>
                      <w:color w:val="auto"/>
                      <w:highlight w:val="none"/>
                      <w:lang w:val="en-US" w:eastAsia="zh-CN"/>
                    </w:rPr>
                    <w:t>禁止手工胶囊、软木塞烫蜡包装药品等淘汰和限制类产业。</w:t>
                  </w:r>
                </w:p>
                <w:p w14:paraId="335FD62C">
                  <w:pPr>
                    <w:pStyle w:val="48"/>
                    <w:keepNext w:val="0"/>
                    <w:keepLines w:val="0"/>
                    <w:pageBreakBefore w:val="0"/>
                    <w:widowControl w:val="0"/>
                    <w:tabs>
                      <w:tab w:val="left" w:pos="0"/>
                    </w:tabs>
                    <w:kinsoku/>
                    <w:wordWrap/>
                    <w:overflowPunct/>
                    <w:topLinePunct w:val="0"/>
                    <w:autoSpaceDE/>
                    <w:autoSpaceDN/>
                    <w:bidi w:val="0"/>
                    <w:adjustRightInd w:val="0"/>
                    <w:snapToGrid w:val="0"/>
                    <w:ind w:firstLine="420" w:firstLineChars="200"/>
                    <w:jc w:val="left"/>
                    <w:textAlignment w:val="auto"/>
                    <w:rPr>
                      <w:rFonts w:hint="eastAsia"/>
                      <w:color w:val="auto"/>
                      <w:highlight w:val="none"/>
                      <w:lang w:val="en-US" w:eastAsia="zh-CN"/>
                    </w:rPr>
                  </w:pPr>
                  <w:r>
                    <w:rPr>
                      <w:rFonts w:hint="eastAsia"/>
                      <w:color w:val="auto"/>
                      <w:highlight w:val="none"/>
                      <w:lang w:val="en-US" w:eastAsia="zh-CN"/>
                    </w:rPr>
                    <w:t>其他：</w:t>
                  </w:r>
                </w:p>
                <w:p w14:paraId="63E3ABA9">
                  <w:pPr>
                    <w:pStyle w:val="48"/>
                    <w:tabs>
                      <w:tab w:val="left" w:pos="0"/>
                    </w:tabs>
                    <w:jc w:val="left"/>
                    <w:rPr>
                      <w:rFonts w:hint="eastAsia"/>
                      <w:color w:val="auto"/>
                      <w:highlight w:val="none"/>
                      <w:lang w:val="en-US" w:eastAsia="zh-CN"/>
                    </w:rPr>
                  </w:pPr>
                  <w:bookmarkStart w:id="19" w:name="sys136036"/>
                  <w:r>
                    <w:rPr>
                      <w:rFonts w:hint="eastAsia"/>
                      <w:color w:val="auto"/>
                      <w:highlight w:val="none"/>
                      <w:lang w:val="en-US" w:eastAsia="zh-CN"/>
                    </w:rPr>
                    <w:t>（1）禁止建设生产和使用高VOCs含量的溶剂型涂料、油墨、胶</w:t>
                  </w:r>
                  <w:sdt>
                    <w:sdtPr>
                      <w:rPr>
                        <w:color w:val="auto"/>
                        <w:highlight w:val="none"/>
                      </w:rPr>
                      <w:alias w:val="字词错误"/>
                      <w:tag w:val="reviewtag_auto"/>
                      <w:id w:val="1063255"/>
                    </w:sdtPr>
                    <w:sdtEndPr>
                      <w:rPr>
                        <w:color w:val="auto"/>
                        <w:highlight w:val="none"/>
                      </w:rPr>
                    </w:sdtEndPr>
                    <w:sdtContent>
                      <w:bookmarkStart w:id="20" w:name="bkReivew1063255"/>
                      <w:r>
                        <w:rPr>
                          <w:rFonts w:hint="eastAsia"/>
                          <w:color w:val="auto"/>
                          <w:highlight w:val="none"/>
                          <w:lang w:val="en-US" w:eastAsia="zh-CN"/>
                        </w:rPr>
                        <w:t>粘</w:t>
                      </w:r>
                      <w:bookmarkEnd w:id="20"/>
                    </w:sdtContent>
                  </w:sdt>
                  <w:r>
                    <w:rPr>
                      <w:rFonts w:hint="eastAsia"/>
                      <w:color w:val="auto"/>
                      <w:highlight w:val="none"/>
                      <w:lang w:val="en-US" w:eastAsia="zh-CN"/>
                    </w:rPr>
                    <w:t>剂等项目；</w:t>
                  </w:r>
                  <w:bookmarkEnd w:id="19"/>
                </w:p>
                <w:p w14:paraId="2A5B7FBF">
                  <w:pPr>
                    <w:pStyle w:val="48"/>
                    <w:tabs>
                      <w:tab w:val="left" w:pos="0"/>
                    </w:tabs>
                    <w:jc w:val="left"/>
                    <w:rPr>
                      <w:rFonts w:hint="eastAsia"/>
                      <w:color w:val="auto"/>
                      <w:highlight w:val="none"/>
                      <w:lang w:val="en-US" w:eastAsia="zh-CN"/>
                    </w:rPr>
                  </w:pPr>
                  <w:r>
                    <w:rPr>
                      <w:rFonts w:hint="eastAsia"/>
                      <w:color w:val="auto"/>
                      <w:highlight w:val="none"/>
                      <w:lang w:val="en-US" w:eastAsia="zh-CN"/>
                    </w:rPr>
                    <w:t>（2）禁止新（扩）建工业生产废水排水量大于1000吨/日的项目；</w:t>
                  </w:r>
                  <w:bookmarkStart w:id="21" w:name="sys1373239"/>
                  <w:r>
                    <w:rPr>
                      <w:rFonts w:hint="eastAsia"/>
                      <w:color w:val="auto"/>
                      <w:highlight w:val="none"/>
                      <w:lang w:val="en-US" w:eastAsia="zh-CN"/>
                    </w:rPr>
                    <w:t>禁止新（扩）建排放含汞、砷、镉、铬、铅等重金属以及持久性有机污染物的工业项目</w:t>
                  </w:r>
                  <w:r>
                    <w:rPr>
                      <w:rFonts w:hint="eastAsia"/>
                      <w:color w:val="auto"/>
                      <w:highlight w:val="none"/>
                      <w:lang w:val="en-US" w:eastAsia="zh-CN"/>
                    </w:rPr>
                    <w:t>；</w:t>
                  </w:r>
                  <w:bookmarkEnd w:id="21"/>
                </w:p>
                <w:p w14:paraId="63D35CBC">
                  <w:pPr>
                    <w:pStyle w:val="48"/>
                    <w:tabs>
                      <w:tab w:val="left" w:pos="0"/>
                    </w:tabs>
                    <w:jc w:val="left"/>
                    <w:rPr>
                      <w:rFonts w:hint="eastAsia"/>
                      <w:color w:val="auto"/>
                      <w:highlight w:val="none"/>
                      <w:lang w:val="en-US" w:eastAsia="zh-CN"/>
                    </w:rPr>
                  </w:pPr>
                  <w:r>
                    <w:rPr>
                      <w:rFonts w:hint="eastAsia"/>
                      <w:color w:val="auto"/>
                      <w:highlight w:val="none"/>
                      <w:lang w:val="en-US" w:eastAsia="zh-CN"/>
                    </w:rPr>
                    <w:t>（3）禁止建设采用落后的生产工艺或生产设备，高水耗、高物耗、高能耗，清洁生产低于国家清洁生产先进水平或行业先进水平的项目；</w:t>
                  </w:r>
                </w:p>
                <w:p w14:paraId="45775F41">
                  <w:pPr>
                    <w:pStyle w:val="48"/>
                    <w:tabs>
                      <w:tab w:val="left" w:pos="0"/>
                    </w:tabs>
                    <w:jc w:val="left"/>
                    <w:rPr>
                      <w:rFonts w:hint="eastAsia"/>
                      <w:color w:val="auto"/>
                      <w:highlight w:val="none"/>
                      <w:lang w:val="en-US" w:eastAsia="zh-CN"/>
                    </w:rPr>
                  </w:pPr>
                  <w:r>
                    <w:rPr>
                      <w:rFonts w:hint="eastAsia"/>
                      <w:color w:val="auto"/>
                      <w:highlight w:val="none"/>
                      <w:lang w:val="en-US" w:eastAsia="zh-CN"/>
                    </w:rPr>
                    <w:t>（4）禁止建设不符合国家产业政策的造纸、制革、印染、水泥、玻璃、化工、酿造等污染严重的生产项目；</w:t>
                  </w:r>
                </w:p>
                <w:p w14:paraId="233D471E">
                  <w:pPr>
                    <w:pStyle w:val="48"/>
                    <w:tabs>
                      <w:tab w:val="left" w:pos="0"/>
                    </w:tabs>
                    <w:jc w:val="left"/>
                    <w:rPr>
                      <w:rFonts w:hint="eastAsia"/>
                      <w:color w:val="auto"/>
                      <w:highlight w:val="none"/>
                      <w:lang w:val="en-US" w:eastAsia="zh-CN"/>
                    </w:rPr>
                  </w:pPr>
                  <w:r>
                    <w:rPr>
                      <w:rFonts w:hint="eastAsia"/>
                      <w:color w:val="auto"/>
                      <w:highlight w:val="none"/>
                      <w:lang w:val="en-US" w:eastAsia="zh-CN"/>
                    </w:rPr>
                    <w:t>（5）禁止引入新建、扩建法律法规和相关政策明令禁止的落后产能项目。</w:t>
                  </w:r>
                </w:p>
              </w:tc>
              <w:tc>
                <w:tcPr>
                  <w:tcW w:w="1621" w:type="pct"/>
                  <w:tcBorders>
                    <w:tl2br w:val="nil"/>
                    <w:tr2bl w:val="nil"/>
                  </w:tcBorders>
                  <w:vAlign w:val="center"/>
                </w:tcPr>
                <w:p w14:paraId="548895E3">
                  <w:pPr>
                    <w:pStyle w:val="48"/>
                    <w:tabs>
                      <w:tab w:val="left" w:pos="0"/>
                    </w:tabs>
                    <w:rPr>
                      <w:rFonts w:hint="default"/>
                      <w:color w:val="auto"/>
                      <w:highlight w:val="none"/>
                      <w:lang w:eastAsia="zh-CN"/>
                    </w:rPr>
                  </w:pPr>
                  <w:r>
                    <w:rPr>
                      <w:rFonts w:hint="default"/>
                      <w:color w:val="auto"/>
                      <w:highlight w:val="none"/>
                      <w:lang w:eastAsia="zh-CN"/>
                    </w:rPr>
                    <w:t>本项目不在《长江经济带发展负面清单指南（试行，2022版）》江苏省实施细则、苏长江办发〔2022〕55号等文件的负面清单内，不属于“高污染、高环境风险”项目，不属于“两高”项目。</w:t>
                  </w:r>
                </w:p>
                <w:p w14:paraId="6EB46913">
                  <w:pPr>
                    <w:pStyle w:val="48"/>
                    <w:tabs>
                      <w:tab w:val="left" w:pos="0"/>
                    </w:tabs>
                    <w:rPr>
                      <w:rFonts w:hint="default"/>
                      <w:color w:val="auto"/>
                      <w:highlight w:val="none"/>
                      <w:lang w:val="en-US" w:eastAsia="zh-CN"/>
                    </w:rPr>
                  </w:pPr>
                  <w:r>
                    <w:rPr>
                      <w:rFonts w:hint="eastAsia"/>
                      <w:color w:val="auto"/>
                      <w:highlight w:val="none"/>
                      <w:lang w:val="en-US" w:eastAsia="zh-CN"/>
                    </w:rPr>
                    <w:t>本项目不涉及高端装备制造行业中禁止工艺和禁止项目；不属于生命健康项目；不涉及溶剂型涂料、油墨、胶</w:t>
                  </w:r>
                  <w:sdt>
                    <w:sdtPr>
                      <w:rPr>
                        <w:color w:val="auto"/>
                        <w:highlight w:val="none"/>
                      </w:rPr>
                      <w:alias w:val="字词错误"/>
                      <w:tag w:val="reviewtag_auto"/>
                      <w:id w:val="2513"/>
                    </w:sdtPr>
                    <w:sdtEndPr>
                      <w:rPr>
                        <w:color w:val="auto"/>
                        <w:highlight w:val="none"/>
                      </w:rPr>
                    </w:sdtEndPr>
                    <w:sdtContent>
                      <w:bookmarkStart w:id="22" w:name="bkReivew2513"/>
                      <w:r>
                        <w:rPr>
                          <w:rFonts w:hint="eastAsia"/>
                          <w:color w:val="auto"/>
                          <w:highlight w:val="none"/>
                          <w:lang w:val="en-US" w:eastAsia="zh-CN"/>
                        </w:rPr>
                        <w:t>粘</w:t>
                      </w:r>
                      <w:bookmarkEnd w:id="22"/>
                    </w:sdtContent>
                  </w:sdt>
                  <w:r>
                    <w:rPr>
                      <w:rFonts w:hint="eastAsia"/>
                      <w:color w:val="auto"/>
                      <w:highlight w:val="none"/>
                      <w:lang w:val="en-US" w:eastAsia="zh-CN"/>
                    </w:rPr>
                    <w:t>剂的使用；不涉及生产废水排水量大于1000吨/日、不涉及重金属以及持久性有机污染物排放；不涉及使用落后工艺、生产设备；不属于造纸、制革、印染、水泥、玻璃、化工、酿造等污染严重的生产项目；不属于政策明令禁止的落后产能项目。</w:t>
                  </w:r>
                </w:p>
                <w:p w14:paraId="71C42F12">
                  <w:pPr>
                    <w:pStyle w:val="48"/>
                    <w:tabs>
                      <w:tab w:val="left" w:pos="0"/>
                    </w:tabs>
                    <w:rPr>
                      <w:color w:val="auto"/>
                      <w:highlight w:val="none"/>
                    </w:rPr>
                  </w:pPr>
                </w:p>
              </w:tc>
              <w:tc>
                <w:tcPr>
                  <w:tcW w:w="279" w:type="pct"/>
                  <w:tcBorders>
                    <w:tl2br w:val="nil"/>
                    <w:tr2bl w:val="nil"/>
                  </w:tcBorders>
                  <w:vAlign w:val="center"/>
                </w:tcPr>
                <w:p w14:paraId="52862C3D">
                  <w:pPr>
                    <w:pStyle w:val="48"/>
                    <w:tabs>
                      <w:tab w:val="left" w:pos="0"/>
                    </w:tabs>
                    <w:rPr>
                      <w:rFonts w:hint="eastAsia"/>
                      <w:color w:val="auto"/>
                      <w:highlight w:val="none"/>
                    </w:rPr>
                  </w:pPr>
                  <w:r>
                    <w:rPr>
                      <w:rFonts w:hint="eastAsia"/>
                      <w:color w:val="auto"/>
                      <w:highlight w:val="none"/>
                      <w:lang w:val="en-US" w:eastAsia="zh-CN"/>
                    </w:rPr>
                    <w:t>相符</w:t>
                  </w:r>
                </w:p>
              </w:tc>
            </w:tr>
            <w:tr w14:paraId="7C558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542278C1">
                  <w:pPr>
                    <w:pStyle w:val="48"/>
                    <w:tabs>
                      <w:tab w:val="left" w:pos="0"/>
                    </w:tabs>
                    <w:rPr>
                      <w:color w:val="auto"/>
                      <w:highlight w:val="none"/>
                    </w:rPr>
                  </w:pPr>
                  <w:r>
                    <w:rPr>
                      <w:rFonts w:hint="eastAsia"/>
                      <w:color w:val="auto"/>
                      <w:highlight w:val="none"/>
                    </w:rPr>
                    <w:t>空间布局约束</w:t>
                  </w:r>
                </w:p>
              </w:tc>
              <w:tc>
                <w:tcPr>
                  <w:tcW w:w="2833" w:type="pct"/>
                  <w:tcBorders>
                    <w:tl2br w:val="nil"/>
                    <w:tr2bl w:val="nil"/>
                  </w:tcBorders>
                  <w:vAlign w:val="center"/>
                </w:tcPr>
                <w:p w14:paraId="154AA886">
                  <w:pPr>
                    <w:pStyle w:val="48"/>
                    <w:tabs>
                      <w:tab w:val="left" w:pos="0"/>
                    </w:tabs>
                    <w:jc w:val="left"/>
                    <w:rPr>
                      <w:rFonts w:hint="default"/>
                      <w:color w:val="auto"/>
                      <w:highlight w:val="none"/>
                      <w:lang w:eastAsia="zh-CN"/>
                    </w:rPr>
                  </w:pPr>
                  <w:r>
                    <w:rPr>
                      <w:rFonts w:hint="default"/>
                      <w:color w:val="auto"/>
                      <w:highlight w:val="none"/>
                      <w:lang w:eastAsia="zh-CN"/>
                    </w:rPr>
                    <w:t>1、集中区各类开发建设活动应符合国土空间规划等相关要求。</w:t>
                  </w:r>
                </w:p>
                <w:p w14:paraId="15047512">
                  <w:pPr>
                    <w:pStyle w:val="48"/>
                    <w:tabs>
                      <w:tab w:val="left" w:pos="0"/>
                    </w:tabs>
                    <w:jc w:val="left"/>
                    <w:rPr>
                      <w:rFonts w:hint="default"/>
                      <w:color w:val="auto"/>
                      <w:highlight w:val="none"/>
                      <w:lang w:eastAsia="zh-CN"/>
                    </w:rPr>
                  </w:pPr>
                  <w:bookmarkStart w:id="23" w:name="sys147053"/>
                  <w:r>
                    <w:rPr>
                      <w:rFonts w:hint="default"/>
                      <w:color w:val="auto"/>
                      <w:highlight w:val="none"/>
                      <w:lang w:eastAsia="zh-CN"/>
                    </w:rPr>
                    <w:t>2、合理产业布局，在集中区与周边居住区之间、生产设施与敏感目标</w:t>
                  </w:r>
                  <w:sdt>
                    <w:sdtPr>
                      <w:rPr>
                        <w:color w:val="auto"/>
                        <w:highlight w:val="none"/>
                      </w:rPr>
                      <w:alias w:val="语法错误"/>
                      <w:tag w:val="reviewtag_auto"/>
                      <w:id w:val="133644"/>
                    </w:sdtPr>
                    <w:sdtEndPr>
                      <w:rPr>
                        <w:color w:val="auto"/>
                        <w:highlight w:val="none"/>
                      </w:rPr>
                    </w:sdtEndPr>
                    <w:sdtContent>
                      <w:bookmarkStart w:id="24" w:name="bkReivew133644"/>
                      <w:r>
                        <w:rPr>
                          <w:rFonts w:hint="default"/>
                          <w:color w:val="auto"/>
                          <w:highlight w:val="none"/>
                          <w:lang w:eastAsia="zh-CN"/>
                        </w:rPr>
                        <w:t>间</w:t>
                      </w:r>
                      <w:bookmarkEnd w:id="24"/>
                    </w:sdtContent>
                  </w:sdt>
                  <w:r>
                    <w:rPr>
                      <w:rFonts w:hint="default"/>
                      <w:color w:val="auto"/>
                      <w:highlight w:val="none"/>
                      <w:lang w:eastAsia="zh-CN"/>
                    </w:rPr>
                    <w:t>设置一定距离的防护绿地、生态绿地等隔离带。</w:t>
                  </w:r>
                  <w:bookmarkEnd w:id="23"/>
                </w:p>
                <w:p w14:paraId="5227B859">
                  <w:pPr>
                    <w:pStyle w:val="48"/>
                    <w:tabs>
                      <w:tab w:val="left" w:pos="0"/>
                    </w:tabs>
                    <w:jc w:val="left"/>
                    <w:rPr>
                      <w:rFonts w:hint="default"/>
                      <w:color w:val="auto"/>
                      <w:highlight w:val="none"/>
                      <w:lang w:eastAsia="zh-CN"/>
                    </w:rPr>
                  </w:pPr>
                  <w:bookmarkStart w:id="25" w:name="sys148079"/>
                  <w:r>
                    <w:rPr>
                      <w:rFonts w:hint="default"/>
                      <w:color w:val="auto"/>
                      <w:highlight w:val="none"/>
                      <w:lang w:eastAsia="zh-CN"/>
                    </w:rPr>
                    <w:t>3、邻近生活区的工业用地，禁止引进废气污染物排放量大、无组织污染严重的项目，距离居住用地100m范围内不布置含喷涂、酸洗等排放异味气体的生产工序和危化品仓库。</w:t>
                  </w:r>
                  <w:bookmarkEnd w:id="25"/>
                </w:p>
                <w:p w14:paraId="1683A374">
                  <w:pPr>
                    <w:pStyle w:val="48"/>
                    <w:tabs>
                      <w:tab w:val="left" w:pos="0"/>
                    </w:tabs>
                    <w:jc w:val="left"/>
                    <w:rPr>
                      <w:color w:val="auto"/>
                      <w:highlight w:val="none"/>
                    </w:rPr>
                  </w:pPr>
                  <w:bookmarkStart w:id="26" w:name="sys149040"/>
                  <w:r>
                    <w:rPr>
                      <w:rFonts w:hint="default"/>
                      <w:color w:val="auto"/>
                      <w:highlight w:val="none"/>
                      <w:lang w:eastAsia="zh-CN"/>
                    </w:rPr>
                    <w:t>4、符合本次评价提出的生态保护红线、环境质量底线、资源利用上线相对应的管控要求。</w:t>
                  </w:r>
                  <w:bookmarkEnd w:id="26"/>
                </w:p>
              </w:tc>
              <w:tc>
                <w:tcPr>
                  <w:tcW w:w="1621" w:type="pct"/>
                  <w:tcBorders>
                    <w:tl2br w:val="nil"/>
                    <w:tr2bl w:val="nil"/>
                  </w:tcBorders>
                  <w:vAlign w:val="center"/>
                </w:tcPr>
                <w:p w14:paraId="75A88F96">
                  <w:pPr>
                    <w:pStyle w:val="48"/>
                    <w:tabs>
                      <w:tab w:val="left" w:pos="0"/>
                    </w:tabs>
                    <w:rPr>
                      <w:rFonts w:hint="default"/>
                      <w:color w:val="auto"/>
                      <w:highlight w:val="none"/>
                      <w:lang w:eastAsia="zh-CN"/>
                    </w:rPr>
                  </w:pPr>
                  <w:r>
                    <w:rPr>
                      <w:rFonts w:hint="default"/>
                      <w:color w:val="auto"/>
                      <w:highlight w:val="none"/>
                      <w:lang w:eastAsia="zh-CN"/>
                    </w:rPr>
                    <w:t>本项目用地为工业用地，符合国土空间规划等相关要求。</w:t>
                  </w:r>
                </w:p>
                <w:p w14:paraId="1297C2B3">
                  <w:pPr>
                    <w:pStyle w:val="48"/>
                    <w:tabs>
                      <w:tab w:val="left" w:pos="0"/>
                    </w:tabs>
                    <w:rPr>
                      <w:rFonts w:hint="default"/>
                      <w:color w:val="auto"/>
                      <w:highlight w:val="none"/>
                      <w:lang w:eastAsia="zh-CN"/>
                    </w:rPr>
                  </w:pPr>
                  <w:r>
                    <w:rPr>
                      <w:rFonts w:hint="default"/>
                      <w:color w:val="auto"/>
                      <w:highlight w:val="none"/>
                      <w:lang w:eastAsia="zh-CN"/>
                    </w:rPr>
                    <w:t>本项目不属于邻近生活区的生活用地，100m范围内</w:t>
                  </w:r>
                  <w:r>
                    <w:rPr>
                      <w:rFonts w:hint="eastAsia"/>
                      <w:color w:val="auto"/>
                      <w:highlight w:val="none"/>
                      <w:lang w:val="en-US" w:eastAsia="zh-CN"/>
                    </w:rPr>
                    <w:t>无敏感目标</w:t>
                  </w:r>
                  <w:r>
                    <w:rPr>
                      <w:rFonts w:hint="default"/>
                      <w:color w:val="auto"/>
                      <w:highlight w:val="none"/>
                      <w:lang w:eastAsia="zh-CN"/>
                    </w:rPr>
                    <w:t>。</w:t>
                  </w:r>
                </w:p>
                <w:p w14:paraId="59ABD202">
                  <w:pPr>
                    <w:pStyle w:val="48"/>
                    <w:tabs>
                      <w:tab w:val="left" w:pos="0"/>
                    </w:tabs>
                    <w:rPr>
                      <w:rFonts w:hint="default"/>
                      <w:color w:val="auto"/>
                      <w:highlight w:val="none"/>
                      <w:lang w:val="en-US" w:eastAsia="zh-CN"/>
                    </w:rPr>
                  </w:pPr>
                  <w:bookmarkStart w:id="27" w:name="sys152034"/>
                  <w:r>
                    <w:rPr>
                      <w:rFonts w:hint="eastAsia"/>
                      <w:color w:val="auto"/>
                      <w:highlight w:val="none"/>
                      <w:lang w:val="en-US" w:eastAsia="zh-CN"/>
                    </w:rPr>
                    <w:t>本项目符合</w:t>
                  </w:r>
                  <w:r>
                    <w:rPr>
                      <w:rFonts w:hint="default"/>
                      <w:color w:val="auto"/>
                      <w:highlight w:val="none"/>
                      <w:lang w:eastAsia="zh-CN"/>
                    </w:rPr>
                    <w:t>生态保护红线、环境质量底线、资源利用上线相对应的管控要求</w:t>
                  </w:r>
                  <w:r>
                    <w:rPr>
                      <w:rFonts w:hint="eastAsia"/>
                      <w:color w:val="auto"/>
                      <w:highlight w:val="none"/>
                      <w:lang w:eastAsia="zh-CN"/>
                    </w:rPr>
                    <w:t>。</w:t>
                  </w:r>
                  <w:bookmarkEnd w:id="27"/>
                </w:p>
              </w:tc>
              <w:tc>
                <w:tcPr>
                  <w:tcW w:w="279" w:type="pct"/>
                  <w:tcBorders>
                    <w:tl2br w:val="nil"/>
                    <w:tr2bl w:val="nil"/>
                  </w:tcBorders>
                  <w:vAlign w:val="center"/>
                </w:tcPr>
                <w:p w14:paraId="212F8637">
                  <w:pPr>
                    <w:pStyle w:val="48"/>
                    <w:tabs>
                      <w:tab w:val="left" w:pos="0"/>
                    </w:tabs>
                    <w:rPr>
                      <w:color w:val="auto"/>
                      <w:highlight w:val="none"/>
                    </w:rPr>
                  </w:pPr>
                  <w:r>
                    <w:rPr>
                      <w:rFonts w:hint="eastAsia"/>
                      <w:color w:val="auto"/>
                      <w:highlight w:val="none"/>
                      <w:lang w:val="en-US" w:eastAsia="zh-CN"/>
                    </w:rPr>
                    <w:t>相符</w:t>
                  </w:r>
                </w:p>
              </w:tc>
            </w:tr>
            <w:tr w14:paraId="45EE03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06823007">
                  <w:pPr>
                    <w:pStyle w:val="48"/>
                    <w:tabs>
                      <w:tab w:val="left" w:pos="0"/>
                    </w:tabs>
                    <w:rPr>
                      <w:color w:val="auto"/>
                      <w:highlight w:val="none"/>
                    </w:rPr>
                  </w:pPr>
                  <w:r>
                    <w:rPr>
                      <w:rFonts w:hint="eastAsia"/>
                      <w:color w:val="auto"/>
                      <w:highlight w:val="none"/>
                    </w:rPr>
                    <w:t>污染物排放管控</w:t>
                  </w:r>
                </w:p>
              </w:tc>
              <w:tc>
                <w:tcPr>
                  <w:tcW w:w="2833" w:type="pct"/>
                  <w:tcBorders>
                    <w:tl2br w:val="nil"/>
                    <w:tr2bl w:val="nil"/>
                  </w:tcBorders>
                  <w:vAlign w:val="center"/>
                </w:tcPr>
                <w:p w14:paraId="3BF24F69">
                  <w:pPr>
                    <w:pStyle w:val="48"/>
                    <w:tabs>
                      <w:tab w:val="left" w:pos="0"/>
                    </w:tabs>
                    <w:jc w:val="left"/>
                    <w:rPr>
                      <w:rFonts w:hint="default"/>
                      <w:color w:val="auto"/>
                      <w:highlight w:val="none"/>
                      <w:lang w:val="zh-CN" w:eastAsia="zh-CN"/>
                    </w:rPr>
                  </w:pPr>
                  <w:r>
                    <w:rPr>
                      <w:rFonts w:hint="default"/>
                      <w:color w:val="auto"/>
                      <w:highlight w:val="none"/>
                      <w:lang w:val="zh-CN" w:eastAsia="zh-CN"/>
                    </w:rPr>
                    <w:t>1、进一步开展管网排查，提升污水收集效率，禁止含汞、砷、镉、铬、铅等重金属的废水外排。强化餐饮油烟治理，加强噪声污染防治，严格施工扬尘监管，加强土壤和地下水污染防治与修复。</w:t>
                  </w:r>
                </w:p>
                <w:p w14:paraId="76BB5FF2">
                  <w:pPr>
                    <w:pStyle w:val="48"/>
                    <w:tabs>
                      <w:tab w:val="left" w:pos="0"/>
                    </w:tabs>
                    <w:jc w:val="left"/>
                    <w:rPr>
                      <w:rFonts w:hint="default"/>
                      <w:color w:val="auto"/>
                      <w:highlight w:val="none"/>
                      <w:lang w:val="zh-CN" w:eastAsia="zh-CN"/>
                    </w:rPr>
                  </w:pPr>
                  <w:r>
                    <w:rPr>
                      <w:rFonts w:hint="default"/>
                      <w:color w:val="auto"/>
                      <w:highlight w:val="none"/>
                      <w:lang w:val="zh-CN" w:eastAsia="zh-CN"/>
                    </w:rPr>
                    <w:t>2、规划近期，集中区大气污染物：SO</w:t>
                  </w:r>
                  <w:r>
                    <w:rPr>
                      <w:rFonts w:hint="default"/>
                      <w:color w:val="auto"/>
                      <w:highlight w:val="none"/>
                      <w:vertAlign w:val="subscript"/>
                      <w:lang w:val="zh-CN" w:eastAsia="zh-CN"/>
                    </w:rPr>
                    <w:t>2</w:t>
                  </w:r>
                  <w:r>
                    <w:rPr>
                      <w:rFonts w:hint="default"/>
                      <w:color w:val="auto"/>
                      <w:highlight w:val="none"/>
                      <w:lang w:val="zh-CN" w:eastAsia="zh-CN"/>
                    </w:rPr>
                    <w:t>、NOx、颗粒物、VOCs排放量不得超过1.269吨/年、6.947吨/年、24.035吨/年、4.072吨/年。</w:t>
                  </w:r>
                  <w:bookmarkStart w:id="28" w:name="sys1567686"/>
                  <w:r>
                    <w:rPr>
                      <w:rFonts w:hint="default"/>
                      <w:color w:val="auto"/>
                      <w:highlight w:val="none"/>
                      <w:lang w:val="zh-CN" w:eastAsia="zh-CN"/>
                    </w:rPr>
                    <w:t>集中区工业废水污染物（排放量）：废水量、COD、氨氮、总氮、总磷排放量不得超过47.78万吨/年、23.958吨/年、2.410吨/年、7.271吨/年、0.256吨/年。</w:t>
                  </w:r>
                  <w:bookmarkEnd w:id="28"/>
                </w:p>
                <w:p w14:paraId="214BAA77">
                  <w:pPr>
                    <w:pStyle w:val="48"/>
                    <w:tabs>
                      <w:tab w:val="left" w:pos="0"/>
                    </w:tabs>
                    <w:jc w:val="left"/>
                    <w:rPr>
                      <w:color w:val="auto"/>
                      <w:highlight w:val="none"/>
                      <w:lang w:val="zh-CN"/>
                    </w:rPr>
                  </w:pPr>
                  <w:r>
                    <w:rPr>
                      <w:rFonts w:hint="default"/>
                      <w:color w:val="auto"/>
                      <w:highlight w:val="none"/>
                      <w:lang w:val="zh-CN" w:eastAsia="zh-CN"/>
                    </w:rPr>
                    <w:t>3、规划期末，集中区大气污染物：SO</w:t>
                  </w:r>
                  <w:r>
                    <w:rPr>
                      <w:rFonts w:hint="default"/>
                      <w:color w:val="auto"/>
                      <w:highlight w:val="none"/>
                      <w:vertAlign w:val="subscript"/>
                      <w:lang w:val="zh-CN" w:eastAsia="zh-CN"/>
                    </w:rPr>
                    <w:t>2</w:t>
                  </w:r>
                  <w:r>
                    <w:rPr>
                      <w:rFonts w:hint="default"/>
                      <w:color w:val="auto"/>
                      <w:highlight w:val="none"/>
                      <w:lang w:val="zh-CN" w:eastAsia="zh-CN"/>
                    </w:rPr>
                    <w:t>、NOx、颗粒物、VOCs、HCl、苯、甲苯、二甲苯、硫酸</w:t>
                  </w:r>
                  <w:sdt>
                    <w:sdtPr>
                      <w:rPr>
                        <w:color w:val="auto"/>
                        <w:highlight w:val="none"/>
                      </w:rPr>
                      <w:alias w:val="字词错误"/>
                      <w:tag w:val="reviewtag_auto"/>
                      <w:id w:val="120602"/>
                    </w:sdtPr>
                    <w:sdtEndPr>
                      <w:rPr>
                        <w:color w:val="auto"/>
                        <w:highlight w:val="none"/>
                      </w:rPr>
                    </w:sdtEndPr>
                    <w:sdtContent>
                      <w:bookmarkStart w:id="29" w:name="bkReivew120602"/>
                      <w:r>
                        <w:rPr>
                          <w:rFonts w:hint="default"/>
                          <w:color w:val="auto"/>
                          <w:highlight w:val="none"/>
                          <w:lang w:val="zh-CN" w:eastAsia="zh-CN"/>
                        </w:rPr>
                        <w:t>雾</w:t>
                      </w:r>
                      <w:bookmarkEnd w:id="29"/>
                    </w:sdtContent>
                  </w:sdt>
                  <w:r>
                    <w:rPr>
                      <w:rFonts w:hint="default"/>
                      <w:color w:val="auto"/>
                      <w:highlight w:val="none"/>
                      <w:lang w:val="zh-CN" w:eastAsia="zh-CN"/>
                    </w:rPr>
                    <w:t>排放量不得超过1.288吨/年、7.330吨/年、24.78吨/年、4.986吨/年、0.261吨/年、0.505吨/年、0.105吨/年、0.22吨/年、0.437吨/年。</w:t>
                  </w:r>
                  <w:bookmarkStart w:id="30" w:name="sys15713686"/>
                  <w:r>
                    <w:rPr>
                      <w:rFonts w:hint="default"/>
                      <w:color w:val="auto"/>
                      <w:highlight w:val="none"/>
                      <w:lang w:val="zh-CN" w:eastAsia="zh-CN"/>
                    </w:rPr>
                    <w:t>集中区工业废水污染物（排放量）：废水量、COD、氨氮、总氮、总磷排放量不得超过48.06万吨/年、14.417吨/年、0.721吨/年、7.208吨/年、0.144吨/年。</w:t>
                  </w:r>
                  <w:bookmarkEnd w:id="30"/>
                </w:p>
              </w:tc>
              <w:tc>
                <w:tcPr>
                  <w:tcW w:w="1621" w:type="pct"/>
                  <w:tcBorders>
                    <w:tl2br w:val="nil"/>
                    <w:tr2bl w:val="nil"/>
                  </w:tcBorders>
                  <w:vAlign w:val="center"/>
                </w:tcPr>
                <w:p w14:paraId="0A00E52C">
                  <w:pPr>
                    <w:pStyle w:val="48"/>
                    <w:tabs>
                      <w:tab w:val="left" w:pos="0"/>
                    </w:tabs>
                    <w:rPr>
                      <w:rFonts w:hint="eastAsia"/>
                      <w:color w:val="auto"/>
                      <w:highlight w:val="none"/>
                      <w:lang w:val="en-US" w:eastAsia="zh-CN"/>
                    </w:rPr>
                  </w:pPr>
                  <w:r>
                    <w:rPr>
                      <w:rFonts w:hint="default"/>
                      <w:color w:val="auto"/>
                      <w:highlight w:val="none"/>
                    </w:rPr>
                    <w:t>本项目</w:t>
                  </w:r>
                  <w:r>
                    <w:rPr>
                      <w:rFonts w:hint="eastAsia"/>
                      <w:color w:val="auto"/>
                      <w:highlight w:val="none"/>
                      <w:lang w:val="en-US" w:eastAsia="zh-CN"/>
                    </w:rPr>
                    <w:t>不涉及</w:t>
                  </w:r>
                  <w:r>
                    <w:rPr>
                      <w:rFonts w:hint="default"/>
                      <w:color w:val="auto"/>
                      <w:highlight w:val="none"/>
                      <w:lang w:val="zh-CN" w:eastAsia="zh-CN"/>
                    </w:rPr>
                    <w:t>含汞、砷、镉、铬、铅等重金属</w:t>
                  </w:r>
                  <w:r>
                    <w:rPr>
                      <w:rFonts w:hint="eastAsia"/>
                      <w:color w:val="auto"/>
                      <w:highlight w:val="none"/>
                      <w:lang w:val="en-US" w:eastAsia="zh-CN"/>
                    </w:rPr>
                    <w:t>废水</w:t>
                  </w:r>
                  <w:sdt>
                    <w:sdtPr>
                      <w:rPr>
                        <w:color w:val="auto"/>
                        <w:highlight w:val="none"/>
                      </w:rPr>
                      <w:alias w:val="标点符号错误"/>
                      <w:tag w:val="reviewtag_auto"/>
                      <w:id w:val="103744"/>
                    </w:sdtPr>
                    <w:sdtEndPr>
                      <w:rPr>
                        <w:color w:val="auto"/>
                        <w:highlight w:val="none"/>
                      </w:rPr>
                    </w:sdtEndPr>
                    <w:sdtContent>
                      <w:bookmarkStart w:id="31" w:name="bkReivew103744"/>
                      <w:r>
                        <w:rPr>
                          <w:rFonts w:hint="eastAsia"/>
                          <w:color w:val="auto"/>
                          <w:highlight w:val="none"/>
                          <w:lang w:val="en-US" w:eastAsia="zh-CN"/>
                        </w:rPr>
                        <w:t>；</w:t>
                      </w:r>
                      <w:bookmarkEnd w:id="31"/>
                    </w:sdtContent>
                  </w:sdt>
                  <w:r>
                    <w:rPr>
                      <w:rFonts w:hint="eastAsia"/>
                      <w:color w:val="auto"/>
                      <w:highlight w:val="none"/>
                      <w:lang w:val="en-US" w:eastAsia="zh-CN"/>
                    </w:rPr>
                    <w:t>不涉及油烟。</w:t>
                  </w:r>
                </w:p>
                <w:p w14:paraId="113BEC75">
                  <w:pPr>
                    <w:pStyle w:val="48"/>
                    <w:tabs>
                      <w:tab w:val="left" w:pos="0"/>
                    </w:tabs>
                    <w:rPr>
                      <w:color w:val="auto"/>
                      <w:highlight w:val="none"/>
                    </w:rPr>
                  </w:pPr>
                  <w:r>
                    <w:rPr>
                      <w:rFonts w:hint="default"/>
                      <w:color w:val="auto"/>
                      <w:highlight w:val="none"/>
                    </w:rPr>
                    <w:t>各项污染物可在区域内平衡解决，不突破区域污染物排放总量。</w:t>
                  </w:r>
                </w:p>
              </w:tc>
              <w:tc>
                <w:tcPr>
                  <w:tcW w:w="279" w:type="pct"/>
                  <w:tcBorders>
                    <w:tl2br w:val="nil"/>
                    <w:tr2bl w:val="nil"/>
                  </w:tcBorders>
                  <w:vAlign w:val="center"/>
                </w:tcPr>
                <w:p w14:paraId="12D27E17">
                  <w:pPr>
                    <w:pStyle w:val="48"/>
                    <w:tabs>
                      <w:tab w:val="left" w:pos="0"/>
                    </w:tabs>
                    <w:rPr>
                      <w:color w:val="auto"/>
                      <w:highlight w:val="none"/>
                    </w:rPr>
                  </w:pPr>
                  <w:r>
                    <w:rPr>
                      <w:rFonts w:hint="eastAsia"/>
                      <w:color w:val="auto"/>
                      <w:highlight w:val="none"/>
                    </w:rPr>
                    <w:t>符合</w:t>
                  </w:r>
                </w:p>
              </w:tc>
            </w:tr>
            <w:tr w14:paraId="3EAF09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5" w:type="pct"/>
                  <w:tcBorders>
                    <w:tl2br w:val="nil"/>
                    <w:tr2bl w:val="nil"/>
                  </w:tcBorders>
                  <w:vAlign w:val="center"/>
                </w:tcPr>
                <w:p w14:paraId="36F1A57D">
                  <w:pPr>
                    <w:pStyle w:val="48"/>
                    <w:tabs>
                      <w:tab w:val="left" w:pos="0"/>
                    </w:tabs>
                    <w:rPr>
                      <w:color w:val="auto"/>
                      <w:highlight w:val="none"/>
                    </w:rPr>
                  </w:pPr>
                  <w:r>
                    <w:rPr>
                      <w:rFonts w:hint="eastAsia"/>
                      <w:color w:val="auto"/>
                      <w:highlight w:val="none"/>
                    </w:rPr>
                    <w:t>环境风险防控</w:t>
                  </w:r>
                </w:p>
              </w:tc>
              <w:tc>
                <w:tcPr>
                  <w:tcW w:w="2833" w:type="pct"/>
                  <w:tcBorders>
                    <w:tl2br w:val="nil"/>
                    <w:tr2bl w:val="nil"/>
                  </w:tcBorders>
                  <w:vAlign w:val="center"/>
                </w:tcPr>
                <w:p w14:paraId="135F4886">
                  <w:pPr>
                    <w:pStyle w:val="48"/>
                    <w:tabs>
                      <w:tab w:val="left" w:pos="0"/>
                    </w:tabs>
                    <w:jc w:val="left"/>
                    <w:rPr>
                      <w:rFonts w:hint="default"/>
                      <w:color w:val="auto"/>
                      <w:highlight w:val="none"/>
                      <w:lang w:eastAsia="zh-CN"/>
                    </w:rPr>
                  </w:pPr>
                  <w:r>
                    <w:rPr>
                      <w:rFonts w:hint="default"/>
                      <w:color w:val="auto"/>
                      <w:highlight w:val="none"/>
                      <w:lang w:eastAsia="zh-CN"/>
                    </w:rPr>
                    <w:t>1、集中区建立健全区域环境风险防范体系和生态安全保障体系，完善事故应急救援体系，加强应急物资装备储备，编制突发环境事件应急预案，定期开展演练。</w:t>
                  </w:r>
                </w:p>
                <w:p w14:paraId="764D379E">
                  <w:pPr>
                    <w:pStyle w:val="48"/>
                    <w:tabs>
                      <w:tab w:val="left" w:pos="0"/>
                    </w:tabs>
                    <w:jc w:val="left"/>
                    <w:rPr>
                      <w:rFonts w:hint="default"/>
                      <w:color w:val="auto"/>
                      <w:highlight w:val="none"/>
                      <w:lang w:eastAsia="zh-CN"/>
                    </w:rPr>
                  </w:pPr>
                  <w:r>
                    <w:rPr>
                      <w:rFonts w:hint="default"/>
                      <w:color w:val="auto"/>
                      <w:highlight w:val="none"/>
                      <w:lang w:eastAsia="zh-CN"/>
                    </w:rPr>
                    <w:t>2、生产、使用、储存危险化学品或其他存在环境风险的企业事业单位，应当采取风险防范措施，并根据《企业事业单位突发环境事件应急预案备案管理办法（试行）》的要求编制环境风险应急预案，防止发生环境污染事故。</w:t>
                  </w:r>
                </w:p>
                <w:p w14:paraId="174F751F">
                  <w:pPr>
                    <w:pStyle w:val="48"/>
                    <w:tabs>
                      <w:tab w:val="left" w:pos="0"/>
                    </w:tabs>
                    <w:jc w:val="left"/>
                    <w:rPr>
                      <w:rFonts w:hint="default"/>
                      <w:color w:val="auto"/>
                      <w:highlight w:val="none"/>
                      <w:lang w:eastAsia="zh-CN"/>
                    </w:rPr>
                  </w:pPr>
                  <w:r>
                    <w:rPr>
                      <w:rFonts w:hint="default"/>
                      <w:color w:val="auto"/>
                      <w:highlight w:val="none"/>
                      <w:lang w:eastAsia="zh-CN"/>
                    </w:rPr>
                    <w:t>3、按照相关管理要求申报、处置废弃危险化学品。</w:t>
                  </w:r>
                  <w:bookmarkStart w:id="32" w:name="sys1642338"/>
                  <w:r>
                    <w:rPr>
                      <w:rFonts w:hint="default"/>
                      <w:color w:val="auto"/>
                      <w:highlight w:val="none"/>
                      <w:lang w:eastAsia="zh-CN"/>
                    </w:rPr>
                    <w:t>强化对危险废物的收集、贮存和处置的监督管理，实现危险废物监管无盲区、无死角。</w:t>
                  </w:r>
                  <w:bookmarkEnd w:id="32"/>
                </w:p>
                <w:p w14:paraId="0735C06E">
                  <w:pPr>
                    <w:pStyle w:val="48"/>
                    <w:tabs>
                      <w:tab w:val="left" w:pos="0"/>
                    </w:tabs>
                    <w:jc w:val="left"/>
                    <w:rPr>
                      <w:color w:val="auto"/>
                      <w:highlight w:val="none"/>
                    </w:rPr>
                  </w:pPr>
                  <w:bookmarkStart w:id="33" w:name="sys165068"/>
                  <w:r>
                    <w:rPr>
                      <w:rFonts w:hint="default"/>
                      <w:color w:val="auto"/>
                      <w:highlight w:val="none"/>
                      <w:lang w:eastAsia="zh-CN"/>
                    </w:rPr>
                    <w:t>4、加强环境影响跟踪监测与管理，建立健全环境空气、地表水、地下水、土壤等环境要素监控体系，完善并落实集中区日常环境监测与污染源监控计划。</w:t>
                  </w:r>
                  <w:bookmarkEnd w:id="33"/>
                </w:p>
              </w:tc>
              <w:tc>
                <w:tcPr>
                  <w:tcW w:w="1621" w:type="pct"/>
                  <w:tcBorders>
                    <w:tl2br w:val="nil"/>
                    <w:tr2bl w:val="nil"/>
                  </w:tcBorders>
                  <w:vAlign w:val="center"/>
                </w:tcPr>
                <w:p w14:paraId="15E0CE30">
                  <w:pPr>
                    <w:pStyle w:val="48"/>
                    <w:tabs>
                      <w:tab w:val="left" w:pos="0"/>
                    </w:tabs>
                    <w:rPr>
                      <w:rFonts w:hint="default"/>
                      <w:color w:val="auto"/>
                      <w:highlight w:val="none"/>
                      <w:lang w:eastAsia="zh-CN"/>
                    </w:rPr>
                  </w:pPr>
                  <w:r>
                    <w:rPr>
                      <w:rFonts w:hint="default"/>
                      <w:color w:val="auto"/>
                      <w:highlight w:val="none"/>
                      <w:lang w:eastAsia="zh-CN"/>
                    </w:rPr>
                    <w:t>本项目建成后将根据《企业事业单位突发环境事件应急预案备案管理办法（试行）》的要求编制环境风险应急预案并备案，落实风险防范措施，防止发生环境污染事故。</w:t>
                  </w:r>
                </w:p>
                <w:p w14:paraId="23B78671">
                  <w:pPr>
                    <w:pStyle w:val="48"/>
                    <w:tabs>
                      <w:tab w:val="left" w:pos="0"/>
                    </w:tabs>
                    <w:rPr>
                      <w:color w:val="auto"/>
                      <w:highlight w:val="none"/>
                    </w:rPr>
                  </w:pPr>
                  <w:r>
                    <w:rPr>
                      <w:rFonts w:hint="default"/>
                      <w:color w:val="auto"/>
                      <w:highlight w:val="none"/>
                      <w:lang w:eastAsia="zh-CN"/>
                    </w:rPr>
                    <w:t>项目建成后将按照相关要求对危险废物进行全过程管理。落实本报告中的日常污染源监测计划。</w:t>
                  </w:r>
                </w:p>
              </w:tc>
              <w:tc>
                <w:tcPr>
                  <w:tcW w:w="279" w:type="pct"/>
                  <w:tcBorders>
                    <w:tl2br w:val="nil"/>
                    <w:tr2bl w:val="nil"/>
                  </w:tcBorders>
                  <w:vAlign w:val="center"/>
                </w:tcPr>
                <w:p w14:paraId="5BA9E428">
                  <w:pPr>
                    <w:pStyle w:val="48"/>
                    <w:tabs>
                      <w:tab w:val="left" w:pos="0"/>
                    </w:tabs>
                    <w:rPr>
                      <w:rFonts w:hint="eastAsia" w:eastAsia="宋体"/>
                      <w:color w:val="auto"/>
                      <w:highlight w:val="none"/>
                      <w:lang w:eastAsia="zh-CN"/>
                    </w:rPr>
                  </w:pPr>
                  <w:r>
                    <w:rPr>
                      <w:rFonts w:hint="eastAsia"/>
                      <w:color w:val="auto"/>
                      <w:highlight w:val="none"/>
                      <w:lang w:val="en-US" w:eastAsia="zh-CN"/>
                    </w:rPr>
                    <w:t>相符</w:t>
                  </w:r>
                </w:p>
              </w:tc>
            </w:tr>
            <w:tr w14:paraId="35E1B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5" w:type="pct"/>
                  <w:tcBorders>
                    <w:tl2br w:val="nil"/>
                    <w:tr2bl w:val="nil"/>
                  </w:tcBorders>
                  <w:vAlign w:val="center"/>
                </w:tcPr>
                <w:p w14:paraId="3B4E173A">
                  <w:pPr>
                    <w:pStyle w:val="48"/>
                    <w:tabs>
                      <w:tab w:val="left" w:pos="0"/>
                    </w:tabs>
                    <w:rPr>
                      <w:color w:val="auto"/>
                      <w:highlight w:val="none"/>
                    </w:rPr>
                  </w:pPr>
                  <w:r>
                    <w:rPr>
                      <w:rFonts w:hint="eastAsia"/>
                      <w:color w:val="auto"/>
                      <w:highlight w:val="none"/>
                    </w:rPr>
                    <w:t>资源利用</w:t>
                  </w:r>
                  <w:r>
                    <w:rPr>
                      <w:rFonts w:hint="eastAsia"/>
                      <w:color w:val="auto"/>
                      <w:highlight w:val="none"/>
                      <w:lang w:val="en-US" w:eastAsia="zh-CN"/>
                    </w:rPr>
                    <w:t>效率</w:t>
                  </w:r>
                  <w:r>
                    <w:rPr>
                      <w:rFonts w:hint="eastAsia"/>
                      <w:color w:val="auto"/>
                      <w:highlight w:val="none"/>
                    </w:rPr>
                    <w:t>要求</w:t>
                  </w:r>
                </w:p>
              </w:tc>
              <w:tc>
                <w:tcPr>
                  <w:tcW w:w="2833" w:type="pct"/>
                  <w:tcBorders>
                    <w:tl2br w:val="nil"/>
                    <w:tr2bl w:val="nil"/>
                  </w:tcBorders>
                  <w:vAlign w:val="center"/>
                </w:tcPr>
                <w:p w14:paraId="13125384">
                  <w:pPr>
                    <w:pStyle w:val="48"/>
                    <w:tabs>
                      <w:tab w:val="left" w:pos="0"/>
                    </w:tabs>
                    <w:jc w:val="left"/>
                    <w:rPr>
                      <w:rFonts w:hint="default"/>
                      <w:color w:val="auto"/>
                      <w:highlight w:val="none"/>
                      <w:lang w:eastAsia="zh-CN"/>
                    </w:rPr>
                  </w:pPr>
                  <w:r>
                    <w:rPr>
                      <w:rFonts w:hint="default"/>
                      <w:color w:val="auto"/>
                      <w:highlight w:val="none"/>
                      <w:lang w:eastAsia="zh-CN"/>
                    </w:rPr>
                    <w:t>1、集中区水资源需求量为92.64万m</w:t>
                  </w:r>
                  <w:r>
                    <w:rPr>
                      <w:rFonts w:hint="eastAsia"/>
                      <w:color w:val="auto"/>
                      <w:highlight w:val="none"/>
                      <w:vertAlign w:val="superscript"/>
                      <w:lang w:val="en-US" w:eastAsia="zh-CN"/>
                    </w:rPr>
                    <w:t>3</w:t>
                  </w:r>
                  <w:r>
                    <w:rPr>
                      <w:rFonts w:hint="default"/>
                      <w:color w:val="auto"/>
                      <w:highlight w:val="none"/>
                      <w:lang w:eastAsia="zh-CN"/>
                    </w:rPr>
                    <w:t>/a，规划期内集中区的水资源利用应不突破该水资源需求量要求。</w:t>
                  </w:r>
                </w:p>
                <w:p w14:paraId="5E06287F">
                  <w:pPr>
                    <w:pStyle w:val="48"/>
                    <w:tabs>
                      <w:tab w:val="left" w:pos="0"/>
                    </w:tabs>
                    <w:jc w:val="left"/>
                    <w:rPr>
                      <w:rFonts w:hint="default"/>
                      <w:color w:val="auto"/>
                      <w:highlight w:val="none"/>
                      <w:lang w:eastAsia="zh-CN"/>
                    </w:rPr>
                  </w:pPr>
                  <w:r>
                    <w:rPr>
                      <w:rFonts w:hint="default"/>
                      <w:color w:val="auto"/>
                      <w:highlight w:val="none"/>
                      <w:lang w:eastAsia="zh-CN"/>
                    </w:rPr>
                    <w:t>2、集中区本轮工业用地规模</w:t>
                  </w:r>
                  <w:sdt>
                    <w:sdtPr>
                      <w:rPr>
                        <w:color w:val="auto"/>
                        <w:highlight w:val="none"/>
                      </w:rPr>
                      <w:alias w:val="字词错误"/>
                      <w:tag w:val="reviewtag_auto"/>
                      <w:id w:val="1161020"/>
                    </w:sdtPr>
                    <w:sdtEndPr>
                      <w:rPr>
                        <w:color w:val="auto"/>
                        <w:highlight w:val="none"/>
                      </w:rPr>
                    </w:sdtEndPr>
                    <w:sdtContent>
                      <w:bookmarkStart w:id="34" w:name="bkReivew1161020"/>
                      <w:r>
                        <w:rPr>
                          <w:rFonts w:hint="default"/>
                          <w:color w:val="auto"/>
                          <w:highlight w:val="none"/>
                          <w:lang w:eastAsia="zh-CN"/>
                        </w:rPr>
                        <w:t>需</w:t>
                      </w:r>
                      <w:bookmarkEnd w:id="34"/>
                    </w:sdtContent>
                  </w:sdt>
                  <w:r>
                    <w:rPr>
                      <w:rFonts w:hint="default"/>
                      <w:color w:val="auto"/>
                      <w:highlight w:val="none"/>
                      <w:lang w:eastAsia="zh-CN"/>
                    </w:rPr>
                    <w:t>严格控制在154.52公顷，不得突破该规模。</w:t>
                  </w:r>
                </w:p>
                <w:p w14:paraId="4BC9B67B">
                  <w:pPr>
                    <w:pStyle w:val="48"/>
                    <w:tabs>
                      <w:tab w:val="left" w:pos="0"/>
                    </w:tabs>
                    <w:jc w:val="left"/>
                    <w:rPr>
                      <w:rFonts w:hint="default"/>
                      <w:color w:val="auto"/>
                      <w:highlight w:val="none"/>
                      <w:lang w:eastAsia="zh-CN"/>
                    </w:rPr>
                  </w:pPr>
                  <w:r>
                    <w:rPr>
                      <w:rFonts w:hint="default"/>
                      <w:color w:val="auto"/>
                      <w:highlight w:val="none"/>
                      <w:lang w:eastAsia="zh-CN"/>
                    </w:rPr>
                    <w:t>3、禁止新建、改扩建采用高污染燃料的项目和设施。</w:t>
                  </w:r>
                </w:p>
                <w:p w14:paraId="4A008B65">
                  <w:pPr>
                    <w:pStyle w:val="48"/>
                    <w:tabs>
                      <w:tab w:val="left" w:pos="0"/>
                    </w:tabs>
                    <w:jc w:val="left"/>
                    <w:rPr>
                      <w:color w:val="auto"/>
                      <w:highlight w:val="none"/>
                    </w:rPr>
                  </w:pPr>
                  <w:r>
                    <w:rPr>
                      <w:rFonts w:hint="default"/>
                      <w:color w:val="auto"/>
                      <w:highlight w:val="none"/>
                      <w:lang w:eastAsia="zh-CN"/>
                    </w:rPr>
                    <w:t>4、执行国家和省能耗及水耗限额标准。</w:t>
                  </w:r>
                  <w:bookmarkStart w:id="35" w:name="sys1731838"/>
                  <w:r>
                    <w:rPr>
                      <w:rFonts w:hint="default"/>
                      <w:color w:val="auto"/>
                      <w:highlight w:val="none"/>
                      <w:lang w:eastAsia="zh-CN"/>
                    </w:rPr>
                    <w:t>强化企业清洁生产改造，推进节水型企业、节水型园区建设，提高资源能源利用效率。</w:t>
                  </w:r>
                  <w:bookmarkEnd w:id="35"/>
                </w:p>
              </w:tc>
              <w:tc>
                <w:tcPr>
                  <w:tcW w:w="1621" w:type="pct"/>
                  <w:tcBorders>
                    <w:tl2br w:val="nil"/>
                    <w:tr2bl w:val="nil"/>
                  </w:tcBorders>
                  <w:vAlign w:val="center"/>
                </w:tcPr>
                <w:p w14:paraId="28A15992">
                  <w:pPr>
                    <w:pStyle w:val="48"/>
                    <w:tabs>
                      <w:tab w:val="left" w:pos="0"/>
                    </w:tabs>
                    <w:rPr>
                      <w:color w:val="auto"/>
                      <w:highlight w:val="none"/>
                    </w:rPr>
                  </w:pPr>
                  <w:r>
                    <w:rPr>
                      <w:rFonts w:hint="default"/>
                      <w:color w:val="auto"/>
                      <w:highlight w:val="none"/>
                      <w:lang w:eastAsia="zh-CN"/>
                    </w:rPr>
                    <w:t>本项目用地为租赁</w:t>
                  </w:r>
                  <w:r>
                    <w:rPr>
                      <w:rFonts w:hint="eastAsia"/>
                      <w:color w:val="auto"/>
                      <w:highlight w:val="none"/>
                      <w:lang w:val="en-US" w:eastAsia="zh-CN"/>
                    </w:rPr>
                    <w:t>现有</w:t>
                  </w:r>
                  <w:r>
                    <w:rPr>
                      <w:rFonts w:hint="default"/>
                      <w:color w:val="auto"/>
                      <w:highlight w:val="none"/>
                      <w:lang w:eastAsia="zh-CN"/>
                    </w:rPr>
                    <w:t>空置厂房建设生产，根据用地布局未突破用地规模要求；项目用水量较小，符合区域水资源规划要求</w:t>
                  </w:r>
                  <w:bookmarkStart w:id="36" w:name="bkReivew120814"/>
                  <w:r>
                    <w:rPr>
                      <w:rFonts w:hint="eastAsia"/>
                      <w:color w:val="auto"/>
                      <w:highlight w:val="none"/>
                      <w:lang w:eastAsia="zh-CN"/>
                    </w:rPr>
                    <w:t>；</w:t>
                  </w:r>
                  <w:bookmarkEnd w:id="36"/>
                  <w:r>
                    <w:rPr>
                      <w:rFonts w:hint="default"/>
                      <w:color w:val="auto"/>
                      <w:highlight w:val="none"/>
                      <w:lang w:eastAsia="zh-CN"/>
                    </w:rPr>
                    <w:t>项目使用电作为能源</w:t>
                  </w:r>
                  <w:r>
                    <w:rPr>
                      <w:rFonts w:hint="eastAsia"/>
                      <w:color w:val="auto"/>
                      <w:highlight w:val="none"/>
                      <w:lang w:eastAsia="zh-CN"/>
                    </w:rPr>
                    <w:t>，</w:t>
                  </w:r>
                  <w:r>
                    <w:rPr>
                      <w:rFonts w:hint="default"/>
                      <w:color w:val="auto"/>
                      <w:highlight w:val="none"/>
                      <w:lang w:eastAsia="zh-CN"/>
                    </w:rPr>
                    <w:t>未采用高污染燃料。</w:t>
                  </w:r>
                </w:p>
              </w:tc>
              <w:tc>
                <w:tcPr>
                  <w:tcW w:w="279" w:type="pct"/>
                  <w:tcBorders>
                    <w:tl2br w:val="nil"/>
                    <w:tr2bl w:val="nil"/>
                  </w:tcBorders>
                  <w:vAlign w:val="center"/>
                </w:tcPr>
                <w:p w14:paraId="1D7946C1">
                  <w:pPr>
                    <w:pStyle w:val="48"/>
                    <w:tabs>
                      <w:tab w:val="left" w:pos="0"/>
                    </w:tabs>
                    <w:rPr>
                      <w:color w:val="auto"/>
                      <w:highlight w:val="none"/>
                    </w:rPr>
                  </w:pPr>
                  <w:r>
                    <w:rPr>
                      <w:rFonts w:hint="eastAsia"/>
                      <w:color w:val="auto"/>
                      <w:highlight w:val="none"/>
                    </w:rPr>
                    <w:t>符合</w:t>
                  </w:r>
                </w:p>
              </w:tc>
            </w:tr>
          </w:tbl>
          <w:p w14:paraId="3956A7F9">
            <w:pPr>
              <w:bidi w:val="0"/>
              <w:rPr>
                <w:color w:val="auto"/>
                <w:highlight w:val="none"/>
              </w:rPr>
            </w:pPr>
          </w:p>
          <w:p w14:paraId="51009BDD">
            <w:pPr>
              <w:bidi w:val="0"/>
              <w:rPr>
                <w:color w:val="auto"/>
                <w:highlight w:val="none"/>
              </w:rPr>
            </w:pPr>
          </w:p>
          <w:p w14:paraId="17D57DAD">
            <w:pPr>
              <w:bidi w:val="0"/>
              <w:rPr>
                <w:color w:val="auto"/>
                <w:highlight w:val="none"/>
              </w:rPr>
            </w:pPr>
          </w:p>
          <w:p w14:paraId="793956C8">
            <w:pPr>
              <w:bidi w:val="0"/>
              <w:rPr>
                <w:color w:val="auto"/>
                <w:highlight w:val="none"/>
              </w:rPr>
            </w:pPr>
          </w:p>
          <w:p w14:paraId="01458C36">
            <w:pPr>
              <w:bidi w:val="0"/>
              <w:rPr>
                <w:color w:val="auto"/>
                <w:highlight w:val="none"/>
              </w:rPr>
            </w:pPr>
          </w:p>
        </w:tc>
      </w:tr>
    </w:tbl>
    <w:p w14:paraId="769B0349">
      <w:pPr>
        <w:ind w:firstLine="480"/>
        <w:rPr>
          <w:color w:val="auto"/>
          <w:sz w:val="18"/>
          <w:szCs w:val="18"/>
          <w:highlight w:val="none"/>
        </w:rPr>
      </w:pPr>
    </w:p>
    <w:p w14:paraId="32A00DCE">
      <w:pPr>
        <w:ind w:firstLine="480"/>
        <w:rPr>
          <w:color w:val="auto"/>
          <w:highlight w:val="none"/>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cols w:space="0" w:num="1"/>
          <w:rtlGutter w:val="0"/>
          <w:docGrid w:linePitch="312" w:charSpace="0"/>
        </w:sectPr>
      </w:pPr>
      <w:bookmarkStart w:id="37" w:name="pindex180"/>
      <w:bookmarkEnd w:id="37"/>
    </w:p>
    <w:tbl>
      <w:tblPr>
        <w:tblStyle w:val="3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8533"/>
      </w:tblGrid>
      <w:tr w14:paraId="3DD3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dxa"/>
            <w:vAlign w:val="center"/>
          </w:tcPr>
          <w:p w14:paraId="5B5F374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color w:val="auto"/>
                <w:highlight w:val="none"/>
                <w:vertAlign w:val="baseline"/>
              </w:rPr>
            </w:pPr>
            <w:r>
              <w:rPr>
                <w:b/>
                <w:bCs/>
                <w:color w:val="auto"/>
                <w:kern w:val="0"/>
                <w:szCs w:val="21"/>
              </w:rPr>
              <w:t>其他符合性分析</w:t>
            </w:r>
          </w:p>
        </w:tc>
        <w:tc>
          <w:tcPr>
            <w:tcW w:w="8533" w:type="dxa"/>
          </w:tcPr>
          <w:p w14:paraId="45C5C946">
            <w:pPr>
              <w:ind w:firstLine="482"/>
              <w:rPr>
                <w:b/>
                <w:bCs/>
                <w:color w:val="auto"/>
                <w:highlight w:val="none"/>
              </w:rPr>
            </w:pPr>
            <w:r>
              <w:rPr>
                <w:rFonts w:hint="eastAsia"/>
                <w:b/>
                <w:bCs/>
                <w:color w:val="auto"/>
                <w:highlight w:val="none"/>
                <w:lang w:eastAsia="zh-CN"/>
              </w:rPr>
              <w:t>1.</w:t>
            </w:r>
            <w:r>
              <w:rPr>
                <w:b/>
                <w:bCs/>
                <w:color w:val="auto"/>
                <w:highlight w:val="none"/>
              </w:rPr>
              <w:t>产业政策相符性分析</w:t>
            </w:r>
          </w:p>
          <w:p w14:paraId="17A6C532">
            <w:pPr>
              <w:ind w:firstLine="480"/>
              <w:rPr>
                <w:color w:val="auto"/>
                <w:highlight w:val="none"/>
              </w:rPr>
            </w:pPr>
            <w:r>
              <w:rPr>
                <w:color w:val="auto"/>
                <w:highlight w:val="none"/>
              </w:rPr>
              <w:t>本项目与产业政策</w:t>
            </w:r>
            <w:sdt>
              <w:sdtPr>
                <w:rPr>
                  <w:color w:val="auto"/>
                </w:rPr>
                <w:alias w:val="语法错误"/>
                <w:tag w:val="reviewtag_FF0000"/>
                <w:id w:val="111114"/>
              </w:sdtPr>
              <w:sdtEndPr>
                <w:rPr>
                  <w:color w:val="auto"/>
                </w:rPr>
              </w:sdtEndPr>
              <w:sdtContent>
                <w:bookmarkStart w:id="38" w:name="bkReivew111114"/>
                <w:r>
                  <w:rPr>
                    <w:color w:val="auto"/>
                    <w:highlight w:val="none"/>
                  </w:rPr>
                  <w:t>相符</w:t>
                </w:r>
                <w:bookmarkEnd w:id="38"/>
              </w:sdtContent>
            </w:sdt>
            <w:r>
              <w:rPr>
                <w:color w:val="auto"/>
                <w:highlight w:val="none"/>
              </w:rPr>
              <w:t>性</w:t>
            </w:r>
            <w:r>
              <w:rPr>
                <w:rFonts w:hint="eastAsia"/>
                <w:color w:val="auto"/>
                <w:highlight w:val="none"/>
                <w:lang w:eastAsia="zh-CN"/>
              </w:rPr>
              <w:t>分析</w:t>
            </w:r>
            <w:r>
              <w:rPr>
                <w:color w:val="auto"/>
                <w:highlight w:val="none"/>
              </w:rPr>
              <w:t>如下表：</w:t>
            </w:r>
          </w:p>
          <w:p w14:paraId="6932E95D">
            <w:pPr>
              <w:pStyle w:val="49"/>
              <w:ind w:firstLine="482"/>
              <w:rPr>
                <w:color w:val="auto"/>
                <w:highlight w:val="none"/>
              </w:rPr>
            </w:pPr>
            <w:r>
              <w:rPr>
                <w:color w:val="auto"/>
                <w:highlight w:val="none"/>
              </w:rPr>
              <w:t>产业政策相符性分析</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43"/>
              <w:gridCol w:w="4323"/>
              <w:gridCol w:w="1448"/>
            </w:tblGrid>
            <w:tr w14:paraId="6EC4E6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29" w:type="pct"/>
                  <w:vAlign w:val="center"/>
                </w:tcPr>
                <w:p w14:paraId="05B55488">
                  <w:pPr>
                    <w:pStyle w:val="48"/>
                    <w:rPr>
                      <w:b/>
                      <w:bCs/>
                      <w:color w:val="auto"/>
                      <w:highlight w:val="none"/>
                    </w:rPr>
                  </w:pPr>
                  <w:r>
                    <w:rPr>
                      <w:b/>
                      <w:bCs/>
                      <w:color w:val="auto"/>
                      <w:highlight w:val="none"/>
                    </w:rPr>
                    <w:t>名称</w:t>
                  </w:r>
                </w:p>
              </w:tc>
              <w:tc>
                <w:tcPr>
                  <w:tcW w:w="2599" w:type="pct"/>
                  <w:vAlign w:val="center"/>
                </w:tcPr>
                <w:p w14:paraId="6F5249A3">
                  <w:pPr>
                    <w:pStyle w:val="48"/>
                    <w:rPr>
                      <w:b/>
                      <w:bCs/>
                      <w:color w:val="auto"/>
                      <w:highlight w:val="none"/>
                    </w:rPr>
                  </w:pPr>
                  <w:r>
                    <w:rPr>
                      <w:rFonts w:hint="eastAsia"/>
                      <w:b/>
                      <w:bCs/>
                      <w:color w:val="auto"/>
                      <w:highlight w:val="none"/>
                    </w:rPr>
                    <w:t>本项目</w:t>
                  </w:r>
                  <w:r>
                    <w:rPr>
                      <w:b/>
                      <w:bCs/>
                      <w:color w:val="auto"/>
                      <w:highlight w:val="none"/>
                    </w:rPr>
                    <w:t>内容及判定</w:t>
                  </w:r>
                </w:p>
              </w:tc>
              <w:tc>
                <w:tcPr>
                  <w:tcW w:w="870" w:type="pct"/>
                  <w:vAlign w:val="center"/>
                </w:tcPr>
                <w:p w14:paraId="216A5277">
                  <w:pPr>
                    <w:pStyle w:val="48"/>
                    <w:rPr>
                      <w:b/>
                      <w:bCs/>
                      <w:color w:val="auto"/>
                      <w:highlight w:val="none"/>
                    </w:rPr>
                  </w:pPr>
                  <w:r>
                    <w:rPr>
                      <w:b/>
                      <w:bCs/>
                      <w:color w:val="auto"/>
                      <w:highlight w:val="none"/>
                    </w:rPr>
                    <w:t>相符性论证</w:t>
                  </w:r>
                </w:p>
              </w:tc>
            </w:tr>
            <w:tr w14:paraId="759F09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29" w:type="pct"/>
                  <w:vAlign w:val="center"/>
                </w:tcPr>
                <w:p w14:paraId="23B8C960">
                  <w:pPr>
                    <w:pStyle w:val="48"/>
                    <w:tabs>
                      <w:tab w:val="left" w:pos="0"/>
                    </w:tabs>
                    <w:rPr>
                      <w:rFonts w:hint="eastAsia" w:ascii="Times New Roman" w:hAnsi="Times New Roman" w:cs="Times New Roman"/>
                      <w:color w:val="auto"/>
                      <w:highlight w:val="none"/>
                      <w:lang w:eastAsia="zh-CN"/>
                    </w:rPr>
                  </w:pPr>
                  <w:r>
                    <w:rPr>
                      <w:rFonts w:ascii="Times New Roman" w:hAnsi="Times New Roman" w:cs="Times New Roman"/>
                      <w:color w:val="auto"/>
                      <w:highlight w:val="none"/>
                    </w:rPr>
                    <w:t>《产业结构调整指导目录</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20</w:t>
                  </w:r>
                  <w:r>
                    <w:rPr>
                      <w:rFonts w:hint="eastAsia" w:ascii="Times New Roman" w:hAnsi="Times New Roman" w:cs="Times New Roman"/>
                      <w:color w:val="auto"/>
                      <w:highlight w:val="none"/>
                      <w:lang w:val="en-US" w:eastAsia="zh-CN"/>
                    </w:rPr>
                    <w:t>24</w:t>
                  </w:r>
                  <w:r>
                    <w:rPr>
                      <w:rFonts w:ascii="Times New Roman" w:hAnsi="Times New Roman" w:cs="Times New Roman"/>
                      <w:color w:val="auto"/>
                      <w:highlight w:val="none"/>
                    </w:rPr>
                    <w:t>年本</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w:t>
                  </w:r>
                </w:p>
              </w:tc>
              <w:tc>
                <w:tcPr>
                  <w:tcW w:w="2599" w:type="pct"/>
                  <w:vAlign w:val="center"/>
                </w:tcPr>
                <w:p w14:paraId="483DB3E2">
                  <w:pPr>
                    <w:pStyle w:val="48"/>
                    <w:tabs>
                      <w:tab w:val="left" w:pos="0"/>
                    </w:tabs>
                    <w:rPr>
                      <w:rFonts w:ascii="Times New Roman" w:hAnsi="Times New Roman" w:cs="Times New Roman"/>
                      <w:color w:val="auto"/>
                      <w:highlight w:val="none"/>
                    </w:rPr>
                  </w:pPr>
                  <w:r>
                    <w:rPr>
                      <w:rFonts w:ascii="Times New Roman" w:hAnsi="Times New Roman" w:cs="Times New Roman"/>
                      <w:color w:val="auto"/>
                    </w:rPr>
                    <w:t>本项目为</w:t>
                  </w:r>
                  <w:r>
                    <w:rPr>
                      <w:rFonts w:hint="eastAsia" w:ascii="Times New Roman" w:hAnsi="Times New Roman" w:cs="Times New Roman"/>
                      <w:color w:val="auto"/>
                      <w:lang w:val="en-US" w:eastAsia="zh-CN"/>
                    </w:rPr>
                    <w:t>移动电源设备生产项目</w:t>
                  </w:r>
                  <w:r>
                    <w:rPr>
                      <w:rFonts w:hint="eastAsia" w:ascii="Times New Roman" w:hAnsi="Times New Roman" w:cs="Times New Roman"/>
                      <w:color w:val="auto"/>
                    </w:rPr>
                    <w:t>，不</w:t>
                  </w:r>
                  <w:r>
                    <w:rPr>
                      <w:rFonts w:ascii="Times New Roman" w:hAnsi="Times New Roman" w:cs="Times New Roman"/>
                      <w:color w:val="auto"/>
                    </w:rPr>
                    <w:t>属于</w:t>
                  </w:r>
                  <w:r>
                    <w:rPr>
                      <w:rFonts w:hint="eastAsia" w:ascii="Times New Roman" w:hAnsi="Times New Roman" w:cs="Times New Roman"/>
                      <w:color w:val="auto"/>
                      <w:lang w:val="en-US" w:eastAsia="zh-CN"/>
                    </w:rPr>
                    <w:t>目录</w:t>
                  </w:r>
                  <w:r>
                    <w:rPr>
                      <w:rFonts w:hint="eastAsia" w:ascii="Times New Roman" w:hAnsi="Times New Roman" w:cs="Times New Roman"/>
                      <w:color w:val="auto"/>
                    </w:rPr>
                    <w:t>中限制类、淘汰类</w:t>
                  </w:r>
                  <w:r>
                    <w:rPr>
                      <w:rFonts w:ascii="Times New Roman" w:hAnsi="Times New Roman" w:cs="Times New Roman"/>
                      <w:color w:val="auto"/>
                    </w:rPr>
                    <w:t>项目</w:t>
                  </w:r>
                  <w:r>
                    <w:rPr>
                      <w:rFonts w:hint="eastAsia" w:ascii="Times New Roman" w:hAnsi="Times New Roman" w:cs="Times New Roman"/>
                      <w:color w:val="auto"/>
                    </w:rPr>
                    <w:t>。</w:t>
                  </w:r>
                </w:p>
              </w:tc>
              <w:tc>
                <w:tcPr>
                  <w:tcW w:w="870" w:type="pct"/>
                  <w:vAlign w:val="center"/>
                </w:tcPr>
                <w:p w14:paraId="3521177C">
                  <w:pPr>
                    <w:pStyle w:val="48"/>
                    <w:rPr>
                      <w:color w:val="auto"/>
                      <w:highlight w:val="none"/>
                    </w:rPr>
                  </w:pPr>
                  <w:r>
                    <w:rPr>
                      <w:color w:val="auto"/>
                      <w:highlight w:val="none"/>
                    </w:rPr>
                    <w:t>符合</w:t>
                  </w:r>
                </w:p>
              </w:tc>
            </w:tr>
            <w:tr w14:paraId="1C20DF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29" w:type="pct"/>
                  <w:vAlign w:val="center"/>
                </w:tcPr>
                <w:p w14:paraId="1647C98A">
                  <w:pPr>
                    <w:pStyle w:val="48"/>
                    <w:tabs>
                      <w:tab w:val="left" w:pos="0"/>
                    </w:tabs>
                    <w:rPr>
                      <w:color w:val="auto"/>
                      <w:highlight w:val="none"/>
                    </w:rPr>
                  </w:pPr>
                  <w:r>
                    <w:rPr>
                      <w:color w:val="auto"/>
                      <w:highlight w:val="none"/>
                    </w:rPr>
                    <w:t>《环境保护综合名录（2021年版）》</w:t>
                  </w:r>
                </w:p>
              </w:tc>
              <w:tc>
                <w:tcPr>
                  <w:tcW w:w="2599" w:type="pct"/>
                  <w:vAlign w:val="center"/>
                </w:tcPr>
                <w:p w14:paraId="42C258AE">
                  <w:pPr>
                    <w:pStyle w:val="48"/>
                    <w:tabs>
                      <w:tab w:val="left" w:pos="0"/>
                    </w:tabs>
                    <w:rPr>
                      <w:color w:val="auto"/>
                      <w:highlight w:val="none"/>
                    </w:rPr>
                  </w:pPr>
                  <w:r>
                    <w:rPr>
                      <w:color w:val="auto"/>
                      <w:highlight w:val="none"/>
                    </w:rPr>
                    <w:t>本项目产品不属</w:t>
                  </w:r>
                  <w:r>
                    <w:rPr>
                      <w:rFonts w:hint="eastAsia" w:ascii="宋体" w:hAnsi="宋体" w:eastAsia="宋体" w:cs="宋体"/>
                      <w:color w:val="auto"/>
                      <w:highlight w:val="none"/>
                    </w:rPr>
                    <w:t>于“两高”产</w:t>
                  </w:r>
                  <w:r>
                    <w:rPr>
                      <w:color w:val="auto"/>
                      <w:highlight w:val="none"/>
                    </w:rPr>
                    <w:t>品名录</w:t>
                  </w:r>
                </w:p>
              </w:tc>
              <w:tc>
                <w:tcPr>
                  <w:tcW w:w="870" w:type="pct"/>
                  <w:vAlign w:val="center"/>
                </w:tcPr>
                <w:p w14:paraId="084E07B4">
                  <w:pPr>
                    <w:pStyle w:val="48"/>
                    <w:tabs>
                      <w:tab w:val="left" w:pos="0"/>
                    </w:tabs>
                    <w:rPr>
                      <w:color w:val="auto"/>
                      <w:highlight w:val="none"/>
                    </w:rPr>
                  </w:pPr>
                  <w:r>
                    <w:rPr>
                      <w:color w:val="auto"/>
                      <w:highlight w:val="none"/>
                    </w:rPr>
                    <w:t>符合</w:t>
                  </w:r>
                </w:p>
              </w:tc>
            </w:tr>
            <w:tr w14:paraId="352D8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29" w:type="pct"/>
                  <w:vAlign w:val="center"/>
                </w:tcPr>
                <w:p w14:paraId="50D8124E">
                  <w:pPr>
                    <w:pStyle w:val="48"/>
                    <w:tabs>
                      <w:tab w:val="left" w:pos="0"/>
                    </w:tabs>
                    <w:rPr>
                      <w:color w:val="auto"/>
                      <w:highlight w:val="none"/>
                    </w:rPr>
                  </w:pPr>
                  <w:r>
                    <w:rPr>
                      <w:color w:val="auto"/>
                      <w:highlight w:val="none"/>
                    </w:rPr>
                    <w:t>《关于加强高耗能、高排放建设项目生态环境源头防控的指导意见》（环环评</w:t>
                  </w:r>
                  <w:r>
                    <w:rPr>
                      <w:rFonts w:hint="eastAsia"/>
                      <w:color w:val="auto"/>
                      <w:highlight w:val="none"/>
                    </w:rPr>
                    <w:t>〔2021〕45号</w:t>
                  </w:r>
                  <w:r>
                    <w:rPr>
                      <w:color w:val="auto"/>
                      <w:highlight w:val="none"/>
                    </w:rPr>
                    <w:t>）</w:t>
                  </w:r>
                </w:p>
              </w:tc>
              <w:tc>
                <w:tcPr>
                  <w:tcW w:w="2599" w:type="pct"/>
                  <w:vAlign w:val="center"/>
                </w:tcPr>
                <w:p w14:paraId="41E3823A">
                  <w:pPr>
                    <w:pStyle w:val="48"/>
                    <w:tabs>
                      <w:tab w:val="left" w:pos="0"/>
                    </w:tabs>
                    <w:rPr>
                      <w:color w:val="auto"/>
                      <w:highlight w:val="none"/>
                    </w:rPr>
                  </w:pPr>
                  <w:bookmarkStart w:id="39" w:name="sys195039"/>
                  <w:r>
                    <w:rPr>
                      <w:color w:val="auto"/>
                      <w:highlight w:val="none"/>
                    </w:rPr>
                    <w:t>对照</w:t>
                  </w:r>
                  <w:r>
                    <w:rPr>
                      <w:rFonts w:hint="eastAsia"/>
                      <w:color w:val="auto"/>
                      <w:highlight w:val="none"/>
                    </w:rPr>
                    <w:t>《江苏省“两高”项目管理目录（202</w:t>
                  </w:r>
                  <w:r>
                    <w:rPr>
                      <w:rFonts w:hint="eastAsia"/>
                      <w:color w:val="auto"/>
                      <w:highlight w:val="none"/>
                      <w:lang w:val="en-US" w:eastAsia="zh-CN"/>
                    </w:rPr>
                    <w:t>5</w:t>
                  </w:r>
                  <w:r>
                    <w:rPr>
                      <w:rFonts w:hint="eastAsia"/>
                      <w:color w:val="auto"/>
                      <w:highlight w:val="none"/>
                    </w:rPr>
                    <w:t>年版）》</w:t>
                  </w:r>
                  <w:r>
                    <w:rPr>
                      <w:color w:val="auto"/>
                      <w:highlight w:val="none"/>
                    </w:rPr>
                    <w:t>，本项目不属于</w:t>
                  </w:r>
                  <w:r>
                    <w:rPr>
                      <w:rFonts w:hint="eastAsia"/>
                      <w:color w:val="auto"/>
                      <w:highlight w:val="none"/>
                    </w:rPr>
                    <w:t>“</w:t>
                  </w:r>
                  <w:r>
                    <w:rPr>
                      <w:color w:val="auto"/>
                      <w:highlight w:val="none"/>
                    </w:rPr>
                    <w:t>两高</w:t>
                  </w:r>
                  <w:r>
                    <w:rPr>
                      <w:rFonts w:hint="eastAsia"/>
                      <w:color w:val="auto"/>
                      <w:highlight w:val="none"/>
                    </w:rPr>
                    <w:t>”</w:t>
                  </w:r>
                  <w:r>
                    <w:rPr>
                      <w:color w:val="auto"/>
                      <w:highlight w:val="none"/>
                    </w:rPr>
                    <w:t>项目。</w:t>
                  </w:r>
                  <w:bookmarkEnd w:id="39"/>
                </w:p>
              </w:tc>
              <w:tc>
                <w:tcPr>
                  <w:tcW w:w="870" w:type="pct"/>
                  <w:vAlign w:val="center"/>
                </w:tcPr>
                <w:p w14:paraId="4B0BCC71">
                  <w:pPr>
                    <w:pStyle w:val="48"/>
                    <w:tabs>
                      <w:tab w:val="left" w:pos="0"/>
                    </w:tabs>
                    <w:rPr>
                      <w:color w:val="auto"/>
                      <w:highlight w:val="none"/>
                    </w:rPr>
                  </w:pPr>
                  <w:r>
                    <w:rPr>
                      <w:color w:val="auto"/>
                      <w:highlight w:val="none"/>
                    </w:rPr>
                    <w:t>本项目不属于</w:t>
                  </w:r>
                  <w:r>
                    <w:rPr>
                      <w:rFonts w:hint="eastAsia"/>
                      <w:color w:val="auto"/>
                      <w:highlight w:val="none"/>
                    </w:rPr>
                    <w:t>“两高”</w:t>
                  </w:r>
                  <w:r>
                    <w:rPr>
                      <w:color w:val="auto"/>
                      <w:highlight w:val="none"/>
                    </w:rPr>
                    <w:t>项目</w:t>
                  </w:r>
                </w:p>
              </w:tc>
            </w:tr>
            <w:tr w14:paraId="2AC0A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29" w:type="pct"/>
                  <w:vAlign w:val="center"/>
                </w:tcPr>
                <w:p w14:paraId="2F91DD8A">
                  <w:pPr>
                    <w:pStyle w:val="48"/>
                    <w:tabs>
                      <w:tab w:val="left" w:pos="0"/>
                    </w:tabs>
                    <w:bidi w:val="0"/>
                    <w:ind w:firstLine="0" w:firstLineChars="0"/>
                    <w:rPr>
                      <w:rFonts w:hint="eastAsia" w:eastAsia="宋体"/>
                      <w:color w:val="auto"/>
                      <w:highlight w:val="none"/>
                      <w:lang w:eastAsia="zh-CN"/>
                    </w:rPr>
                  </w:pPr>
                  <w:r>
                    <w:rPr>
                      <w:rFonts w:hint="eastAsia"/>
                      <w:color w:val="auto"/>
                      <w:highlight w:val="none"/>
                      <w:lang w:eastAsia="zh-CN"/>
                    </w:rPr>
                    <w:t>《</w:t>
                  </w:r>
                  <w:r>
                    <w:rPr>
                      <w:rFonts w:hint="eastAsia"/>
                      <w:color w:val="auto"/>
                      <w:highlight w:val="none"/>
                    </w:rPr>
                    <w:t>江苏省“两高”项目管理目录</w:t>
                  </w:r>
                  <w:r>
                    <w:rPr>
                      <w:rFonts w:hint="eastAsia"/>
                      <w:color w:val="auto"/>
                      <w:highlight w:val="none"/>
                      <w:lang w:eastAsia="zh-CN"/>
                    </w:rPr>
                    <w:t>（</w:t>
                  </w:r>
                  <w:r>
                    <w:rPr>
                      <w:rFonts w:hint="eastAsia"/>
                      <w:color w:val="auto"/>
                      <w:highlight w:val="none"/>
                    </w:rPr>
                    <w:t>2025年版</w:t>
                  </w:r>
                  <w:r>
                    <w:rPr>
                      <w:rFonts w:hint="eastAsia"/>
                      <w:color w:val="auto"/>
                      <w:highlight w:val="none"/>
                      <w:lang w:eastAsia="zh-CN"/>
                    </w:rPr>
                    <w:t>）》</w:t>
                  </w:r>
                </w:p>
              </w:tc>
              <w:tc>
                <w:tcPr>
                  <w:tcW w:w="2599" w:type="pct"/>
                  <w:vAlign w:val="center"/>
                </w:tcPr>
                <w:p w14:paraId="0CEEFD57">
                  <w:pPr>
                    <w:pStyle w:val="48"/>
                    <w:tabs>
                      <w:tab w:val="left" w:pos="0"/>
                    </w:tabs>
                    <w:bidi w:val="0"/>
                    <w:ind w:firstLine="0" w:firstLineChars="0"/>
                    <w:rPr>
                      <w:color w:val="auto"/>
                      <w:highlight w:val="none"/>
                    </w:rPr>
                  </w:pPr>
                  <w:bookmarkStart w:id="40" w:name="sys198039"/>
                  <w:r>
                    <w:rPr>
                      <w:color w:val="auto"/>
                      <w:highlight w:val="none"/>
                    </w:rPr>
                    <w:t>对照</w:t>
                  </w:r>
                  <w:r>
                    <w:rPr>
                      <w:rFonts w:hint="eastAsia"/>
                      <w:color w:val="auto"/>
                      <w:highlight w:val="none"/>
                      <w:lang w:eastAsia="zh-CN"/>
                    </w:rPr>
                    <w:t>《</w:t>
                  </w:r>
                  <w:r>
                    <w:rPr>
                      <w:rFonts w:hint="eastAsia"/>
                      <w:color w:val="auto"/>
                      <w:highlight w:val="none"/>
                    </w:rPr>
                    <w:t>江苏省“两高”项目管理目录</w:t>
                  </w:r>
                  <w:r>
                    <w:rPr>
                      <w:rFonts w:hint="eastAsia"/>
                      <w:color w:val="auto"/>
                      <w:highlight w:val="none"/>
                      <w:lang w:eastAsia="zh-CN"/>
                    </w:rPr>
                    <w:t>（</w:t>
                  </w:r>
                  <w:r>
                    <w:rPr>
                      <w:rFonts w:hint="eastAsia"/>
                      <w:color w:val="auto"/>
                      <w:highlight w:val="none"/>
                    </w:rPr>
                    <w:t>2025年版</w:t>
                  </w:r>
                  <w:r>
                    <w:rPr>
                      <w:rFonts w:hint="eastAsia"/>
                      <w:color w:val="auto"/>
                      <w:highlight w:val="none"/>
                      <w:lang w:eastAsia="zh-CN"/>
                    </w:rPr>
                    <w:t>）》</w:t>
                  </w:r>
                  <w:r>
                    <w:rPr>
                      <w:color w:val="auto"/>
                      <w:highlight w:val="none"/>
                    </w:rPr>
                    <w:t>，本项目不属于</w:t>
                  </w:r>
                  <w:r>
                    <w:rPr>
                      <w:rFonts w:hint="eastAsia"/>
                      <w:color w:val="auto"/>
                      <w:highlight w:val="none"/>
                      <w:lang w:eastAsia="zh-CN"/>
                    </w:rPr>
                    <w:t>“两高”</w:t>
                  </w:r>
                  <w:r>
                    <w:rPr>
                      <w:color w:val="auto"/>
                      <w:highlight w:val="none"/>
                    </w:rPr>
                    <w:t>项目。</w:t>
                  </w:r>
                  <w:bookmarkEnd w:id="40"/>
                </w:p>
              </w:tc>
              <w:tc>
                <w:tcPr>
                  <w:tcW w:w="870" w:type="pct"/>
                  <w:vAlign w:val="center"/>
                </w:tcPr>
                <w:p w14:paraId="70FBC271">
                  <w:pPr>
                    <w:pStyle w:val="48"/>
                    <w:tabs>
                      <w:tab w:val="left" w:pos="0"/>
                    </w:tabs>
                    <w:bidi w:val="0"/>
                    <w:ind w:firstLine="0" w:firstLineChars="0"/>
                    <w:rPr>
                      <w:color w:val="auto"/>
                      <w:highlight w:val="none"/>
                    </w:rPr>
                  </w:pPr>
                  <w:r>
                    <w:rPr>
                      <w:color w:val="auto"/>
                      <w:highlight w:val="none"/>
                    </w:rPr>
                    <w:t>本项目不属于</w:t>
                  </w:r>
                  <w:r>
                    <w:rPr>
                      <w:rFonts w:hint="eastAsia"/>
                      <w:color w:val="auto"/>
                      <w:highlight w:val="none"/>
                      <w:lang w:eastAsia="zh-CN"/>
                    </w:rPr>
                    <w:t>“两高”</w:t>
                  </w:r>
                  <w:r>
                    <w:rPr>
                      <w:color w:val="auto"/>
                      <w:highlight w:val="none"/>
                    </w:rPr>
                    <w:t>项目</w:t>
                  </w:r>
                </w:p>
              </w:tc>
            </w:tr>
            <w:tr w14:paraId="22B5AB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29" w:type="pct"/>
                  <w:vAlign w:val="center"/>
                </w:tcPr>
                <w:p w14:paraId="2B5C1999">
                  <w:pPr>
                    <w:pStyle w:val="48"/>
                    <w:tabs>
                      <w:tab w:val="left" w:pos="0"/>
                    </w:tabs>
                    <w:rPr>
                      <w:color w:val="auto"/>
                      <w:highlight w:val="none"/>
                    </w:rPr>
                  </w:pPr>
                  <w:r>
                    <w:rPr>
                      <w:color w:val="auto"/>
                      <w:highlight w:val="none"/>
                    </w:rPr>
                    <w:t>备案情况</w:t>
                  </w:r>
                </w:p>
              </w:tc>
              <w:tc>
                <w:tcPr>
                  <w:tcW w:w="2599" w:type="pct"/>
                  <w:vAlign w:val="center"/>
                </w:tcPr>
                <w:p w14:paraId="374B5EB5">
                  <w:pPr>
                    <w:pStyle w:val="48"/>
                    <w:tabs>
                      <w:tab w:val="left" w:pos="0"/>
                    </w:tabs>
                    <w:rPr>
                      <w:color w:val="auto"/>
                      <w:highlight w:val="none"/>
                    </w:rPr>
                  </w:pPr>
                  <w:r>
                    <w:rPr>
                      <w:color w:val="auto"/>
                      <w:highlight w:val="none"/>
                    </w:rPr>
                    <w:t>该项目于</w:t>
                  </w:r>
                  <w:r>
                    <w:rPr>
                      <w:rFonts w:hint="eastAsia"/>
                      <w:color w:val="auto"/>
                      <w:highlight w:val="none"/>
                    </w:rPr>
                    <w:t>202</w:t>
                  </w:r>
                  <w:r>
                    <w:rPr>
                      <w:rFonts w:hint="eastAsia"/>
                      <w:color w:val="auto"/>
                      <w:highlight w:val="none"/>
                      <w:lang w:val="en-US" w:eastAsia="zh-CN"/>
                    </w:rPr>
                    <w:t>6</w:t>
                  </w:r>
                  <w:r>
                    <w:rPr>
                      <w:color w:val="auto"/>
                      <w:highlight w:val="none"/>
                    </w:rPr>
                    <w:t>年</w:t>
                  </w:r>
                  <w:r>
                    <w:rPr>
                      <w:rFonts w:hint="eastAsia"/>
                      <w:color w:val="auto"/>
                      <w:highlight w:val="none"/>
                      <w:lang w:val="en-US" w:eastAsia="zh-CN"/>
                    </w:rPr>
                    <w:t>7</w:t>
                  </w:r>
                  <w:r>
                    <w:rPr>
                      <w:color w:val="auto"/>
                      <w:highlight w:val="none"/>
                    </w:rPr>
                    <w:t>月</w:t>
                  </w:r>
                  <w:r>
                    <w:rPr>
                      <w:rFonts w:hint="eastAsia"/>
                      <w:color w:val="auto"/>
                      <w:highlight w:val="none"/>
                      <w:lang w:val="en-US" w:eastAsia="zh-CN"/>
                    </w:rPr>
                    <w:t>22</w:t>
                  </w:r>
                  <w:r>
                    <w:rPr>
                      <w:color w:val="auto"/>
                      <w:highlight w:val="none"/>
                    </w:rPr>
                    <w:t>日获得</w:t>
                  </w:r>
                  <w:r>
                    <w:rPr>
                      <w:rFonts w:hint="eastAsia"/>
                      <w:color w:val="auto"/>
                      <w:highlight w:val="none"/>
                    </w:rPr>
                    <w:t>南京江宁经济技术开发区管理委员会政务服务中心</w:t>
                  </w:r>
                  <w:r>
                    <w:rPr>
                      <w:color w:val="auto"/>
                      <w:highlight w:val="none"/>
                    </w:rPr>
                    <w:t>备案，备案证号：</w:t>
                  </w:r>
                  <w:r>
                    <w:rPr>
                      <w:rFonts w:hint="eastAsia"/>
                      <w:color w:val="auto"/>
                      <w:highlight w:val="none"/>
                    </w:rPr>
                    <w:t>宁经政</w:t>
                  </w:r>
                  <w:sdt>
                    <w:sdtPr>
                      <w:rPr>
                        <w:color w:val="auto"/>
                      </w:rPr>
                      <w:alias w:val="字词错误"/>
                      <w:tag w:val="reviewtag_0000FF"/>
                      <w:id w:val="160722"/>
                    </w:sdtPr>
                    <w:sdtEndPr>
                      <w:rPr>
                        <w:color w:val="auto"/>
                      </w:rPr>
                    </w:sdtEndPr>
                    <w:sdtContent>
                      <w:bookmarkStart w:id="41" w:name="bkReivew160722"/>
                      <w:r>
                        <w:rPr>
                          <w:rFonts w:hint="eastAsia"/>
                          <w:color w:val="auto"/>
                          <w:highlight w:val="none"/>
                        </w:rPr>
                        <w:t>服备</w:t>
                      </w:r>
                      <w:bookmarkEnd w:id="41"/>
                    </w:sdtContent>
                  </w:sdt>
                  <w:r>
                    <w:rPr>
                      <w:rFonts w:hint="eastAsia"/>
                      <w:color w:val="auto"/>
                      <w:highlight w:val="none"/>
                    </w:rPr>
                    <w:t>〔202</w:t>
                  </w:r>
                  <w:r>
                    <w:rPr>
                      <w:rFonts w:hint="eastAsia"/>
                      <w:color w:val="auto"/>
                      <w:highlight w:val="none"/>
                      <w:lang w:val="en-US" w:eastAsia="zh-CN"/>
                    </w:rPr>
                    <w:t>6</w:t>
                  </w:r>
                  <w:r>
                    <w:rPr>
                      <w:rFonts w:hint="eastAsia"/>
                      <w:color w:val="auto"/>
                      <w:highlight w:val="none"/>
                    </w:rPr>
                    <w:t>〕</w:t>
                  </w:r>
                  <w:r>
                    <w:rPr>
                      <w:rFonts w:hint="eastAsia"/>
                      <w:color w:val="auto"/>
                      <w:highlight w:val="none"/>
                      <w:lang w:val="en-US" w:eastAsia="zh-CN"/>
                    </w:rPr>
                    <w:t>442</w:t>
                  </w:r>
                  <w:r>
                    <w:rPr>
                      <w:rFonts w:hint="eastAsia"/>
                      <w:color w:val="auto"/>
                      <w:highlight w:val="none"/>
                    </w:rPr>
                    <w:t>号</w:t>
                  </w:r>
                </w:p>
              </w:tc>
              <w:tc>
                <w:tcPr>
                  <w:tcW w:w="870" w:type="pct"/>
                  <w:vAlign w:val="center"/>
                </w:tcPr>
                <w:p w14:paraId="501CC79C">
                  <w:pPr>
                    <w:pStyle w:val="48"/>
                    <w:tabs>
                      <w:tab w:val="left" w:pos="0"/>
                    </w:tabs>
                    <w:rPr>
                      <w:color w:val="auto"/>
                      <w:highlight w:val="none"/>
                    </w:rPr>
                  </w:pPr>
                  <w:r>
                    <w:rPr>
                      <w:color w:val="auto"/>
                      <w:highlight w:val="none"/>
                    </w:rPr>
                    <w:t>已取得审批部门立项文件</w:t>
                  </w:r>
                </w:p>
              </w:tc>
            </w:tr>
          </w:tbl>
          <w:p w14:paraId="47678D5A">
            <w:pPr>
              <w:ind w:firstLine="480"/>
              <w:rPr>
                <w:color w:val="auto"/>
                <w:highlight w:val="none"/>
              </w:rPr>
            </w:pPr>
            <w:r>
              <w:rPr>
                <w:rFonts w:hint="eastAsia"/>
                <w:color w:val="auto"/>
                <w:highlight w:val="none"/>
              </w:rPr>
              <w:t>综上分析，本项目建设符合产业政策。</w:t>
            </w:r>
          </w:p>
          <w:p w14:paraId="40181139">
            <w:pPr>
              <w:ind w:firstLine="482"/>
              <w:rPr>
                <w:b/>
                <w:bCs/>
                <w:color w:val="auto"/>
                <w:highlight w:val="none"/>
              </w:rPr>
            </w:pPr>
            <w:r>
              <w:rPr>
                <w:rFonts w:hint="eastAsia"/>
                <w:b/>
                <w:bCs/>
                <w:color w:val="auto"/>
                <w:highlight w:val="none"/>
                <w:lang w:eastAsia="zh-CN"/>
              </w:rPr>
              <w:t>2.</w:t>
            </w:r>
            <w:r>
              <w:rPr>
                <w:rFonts w:hint="eastAsia"/>
                <w:b/>
                <w:bCs/>
                <w:color w:val="auto"/>
                <w:highlight w:val="none"/>
                <w:lang w:val="en-US" w:eastAsia="zh-CN"/>
              </w:rPr>
              <w:t>用</w:t>
            </w:r>
            <w:r>
              <w:rPr>
                <w:b/>
                <w:bCs/>
                <w:color w:val="auto"/>
                <w:highlight w:val="none"/>
              </w:rPr>
              <w:t>地政策相符性分析</w:t>
            </w:r>
          </w:p>
          <w:p w14:paraId="2F8B9FBA">
            <w:pPr>
              <w:rPr>
                <w:color w:val="auto"/>
                <w:highlight w:val="none"/>
              </w:rPr>
            </w:pPr>
            <w:r>
              <w:rPr>
                <w:color w:val="auto"/>
                <w:highlight w:val="none"/>
              </w:rPr>
              <w:t>本项目与</w:t>
            </w:r>
            <w:r>
              <w:rPr>
                <w:rFonts w:hint="eastAsia"/>
                <w:color w:val="auto"/>
                <w:highlight w:val="none"/>
                <w:lang w:val="en-US" w:eastAsia="zh-CN"/>
              </w:rPr>
              <w:t>用</w:t>
            </w:r>
            <w:r>
              <w:rPr>
                <w:color w:val="auto"/>
                <w:highlight w:val="none"/>
              </w:rPr>
              <w:t>地政策相符性</w:t>
            </w:r>
            <w:r>
              <w:rPr>
                <w:rFonts w:hint="eastAsia"/>
                <w:color w:val="auto"/>
                <w:highlight w:val="none"/>
                <w:lang w:val="en-US" w:eastAsia="zh-CN"/>
              </w:rPr>
              <w:t>见</w:t>
            </w:r>
            <w:r>
              <w:rPr>
                <w:color w:val="auto"/>
                <w:highlight w:val="none"/>
              </w:rPr>
              <w:t>下表</w:t>
            </w:r>
            <w:r>
              <w:rPr>
                <w:rFonts w:hint="eastAsia"/>
                <w:color w:val="auto"/>
                <w:highlight w:val="none"/>
              </w:rPr>
              <w:t>。</w:t>
            </w:r>
          </w:p>
          <w:p w14:paraId="779050A1">
            <w:pPr>
              <w:pStyle w:val="49"/>
              <w:ind w:firstLine="482"/>
              <w:rPr>
                <w:color w:val="auto"/>
                <w:highlight w:val="none"/>
              </w:rPr>
            </w:pPr>
            <w:r>
              <w:rPr>
                <w:rFonts w:hint="eastAsia"/>
                <w:color w:val="auto"/>
                <w:highlight w:val="none"/>
              </w:rPr>
              <w:t>本</w:t>
            </w:r>
            <w:r>
              <w:rPr>
                <w:color w:val="auto"/>
                <w:highlight w:val="none"/>
              </w:rPr>
              <w:t>项目与</w:t>
            </w:r>
            <w:r>
              <w:rPr>
                <w:rFonts w:hint="eastAsia"/>
                <w:color w:val="auto"/>
                <w:highlight w:val="none"/>
                <w:lang w:val="en-US" w:eastAsia="zh-CN"/>
              </w:rPr>
              <w:t>用</w:t>
            </w:r>
            <w:r>
              <w:rPr>
                <w:rFonts w:hint="eastAsia"/>
                <w:color w:val="auto"/>
                <w:highlight w:val="none"/>
              </w:rPr>
              <w:t>地</w:t>
            </w:r>
            <w:r>
              <w:rPr>
                <w:color w:val="auto"/>
                <w:highlight w:val="none"/>
              </w:rPr>
              <w:t>政策相符性一览表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4828"/>
              <w:gridCol w:w="976"/>
            </w:tblGrid>
            <w:tr w14:paraId="03F8C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09" w:type="pct"/>
                  <w:vAlign w:val="center"/>
                </w:tcPr>
                <w:p w14:paraId="6005AA97">
                  <w:pPr>
                    <w:pStyle w:val="48"/>
                    <w:tabs>
                      <w:tab w:val="left" w:pos="0"/>
                    </w:tabs>
                    <w:rPr>
                      <w:b/>
                      <w:bCs/>
                      <w:color w:val="auto"/>
                      <w:highlight w:val="none"/>
                    </w:rPr>
                  </w:pPr>
                  <w:r>
                    <w:rPr>
                      <w:rFonts w:hint="eastAsia"/>
                      <w:b/>
                      <w:bCs/>
                      <w:color w:val="auto"/>
                      <w:highlight w:val="none"/>
                    </w:rPr>
                    <w:t>文件</w:t>
                  </w:r>
                  <w:r>
                    <w:rPr>
                      <w:b/>
                      <w:bCs/>
                      <w:color w:val="auto"/>
                      <w:highlight w:val="none"/>
                    </w:rPr>
                    <w:t>名称</w:t>
                  </w:r>
                </w:p>
              </w:tc>
              <w:tc>
                <w:tcPr>
                  <w:tcW w:w="2903" w:type="pct"/>
                  <w:vAlign w:val="center"/>
                </w:tcPr>
                <w:p w14:paraId="24562D18">
                  <w:pPr>
                    <w:pStyle w:val="48"/>
                    <w:tabs>
                      <w:tab w:val="left" w:pos="0"/>
                    </w:tabs>
                    <w:rPr>
                      <w:b/>
                      <w:bCs/>
                      <w:color w:val="auto"/>
                      <w:highlight w:val="none"/>
                    </w:rPr>
                  </w:pPr>
                  <w:r>
                    <w:rPr>
                      <w:rFonts w:hint="eastAsia"/>
                      <w:b/>
                      <w:bCs/>
                      <w:color w:val="auto"/>
                      <w:highlight w:val="none"/>
                    </w:rPr>
                    <w:t>本项目情况</w:t>
                  </w:r>
                </w:p>
              </w:tc>
              <w:tc>
                <w:tcPr>
                  <w:tcW w:w="587" w:type="pct"/>
                  <w:vAlign w:val="center"/>
                </w:tcPr>
                <w:p w14:paraId="439E3812">
                  <w:pPr>
                    <w:pStyle w:val="48"/>
                    <w:tabs>
                      <w:tab w:val="left" w:pos="0"/>
                    </w:tabs>
                    <w:rPr>
                      <w:b/>
                      <w:bCs/>
                      <w:color w:val="auto"/>
                      <w:highlight w:val="none"/>
                    </w:rPr>
                  </w:pPr>
                  <w:r>
                    <w:rPr>
                      <w:b/>
                      <w:bCs/>
                      <w:color w:val="auto"/>
                      <w:highlight w:val="none"/>
                    </w:rPr>
                    <w:t>相符性</w:t>
                  </w:r>
                </w:p>
              </w:tc>
            </w:tr>
            <w:tr w14:paraId="2CBD67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509" w:type="pct"/>
                  <w:vAlign w:val="center"/>
                </w:tcPr>
                <w:p w14:paraId="4B408236">
                  <w:pPr>
                    <w:pStyle w:val="48"/>
                    <w:tabs>
                      <w:tab w:val="left" w:pos="0"/>
                    </w:tabs>
                    <w:rPr>
                      <w:rFonts w:hint="eastAsia"/>
                      <w:color w:val="auto"/>
                      <w:highlight w:val="none"/>
                      <w:lang w:eastAsia="zh-CN"/>
                    </w:rPr>
                  </w:pPr>
                  <w:r>
                    <w:rPr>
                      <w:rFonts w:hint="eastAsia"/>
                      <w:color w:val="auto"/>
                      <w:highlight w:val="none"/>
                    </w:rPr>
                    <w:t>《自然资源要素支撑产业高质量发展指导目录（2024年本）》</w:t>
                  </w:r>
                  <w:r>
                    <w:rPr>
                      <w:rFonts w:hint="eastAsia"/>
                      <w:color w:val="auto"/>
                      <w:highlight w:val="none"/>
                      <w:lang w:eastAsia="zh-CN"/>
                    </w:rPr>
                    <w:t>（</w:t>
                  </w:r>
                  <w:r>
                    <w:rPr>
                      <w:rFonts w:hint="eastAsia"/>
                      <w:color w:val="auto"/>
                      <w:highlight w:val="none"/>
                      <w:lang w:val="en-US" w:eastAsia="zh-CN"/>
                    </w:rPr>
                    <w:t>自然资发〔2024〕273号</w:t>
                  </w:r>
                  <w:r>
                    <w:rPr>
                      <w:rFonts w:hint="eastAsia"/>
                      <w:color w:val="auto"/>
                      <w:highlight w:val="none"/>
                      <w:lang w:eastAsia="zh-CN"/>
                    </w:rPr>
                    <w:t>）</w:t>
                  </w:r>
                </w:p>
              </w:tc>
              <w:tc>
                <w:tcPr>
                  <w:tcW w:w="2903" w:type="pct"/>
                  <w:vAlign w:val="center"/>
                </w:tcPr>
                <w:p w14:paraId="2ACE91F2">
                  <w:pPr>
                    <w:pStyle w:val="48"/>
                    <w:tabs>
                      <w:tab w:val="left" w:pos="0"/>
                    </w:tabs>
                    <w:rPr>
                      <w:rFonts w:hint="default" w:eastAsia="宋体"/>
                      <w:color w:val="auto"/>
                      <w:highlight w:val="none"/>
                      <w:lang w:val="en-US" w:eastAsia="zh-CN"/>
                    </w:rPr>
                  </w:pPr>
                  <w:r>
                    <w:rPr>
                      <w:rFonts w:hint="eastAsia"/>
                      <w:color w:val="auto"/>
                      <w:highlight w:val="none"/>
                      <w:lang w:val="zh-CN"/>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lang w:val="zh-CN"/>
                    </w:rPr>
                    <w:t>，根据不动产权证，</w:t>
                  </w:r>
                  <w:r>
                    <w:rPr>
                      <w:rFonts w:hint="eastAsia"/>
                      <w:color w:val="auto"/>
                      <w:highlight w:val="none"/>
                      <w:lang w:val="en-US" w:eastAsia="zh-CN"/>
                    </w:rPr>
                    <w:t>园区</w:t>
                  </w:r>
                  <w:r>
                    <w:rPr>
                      <w:rFonts w:hint="eastAsia"/>
                      <w:color w:val="auto"/>
                      <w:highlight w:val="none"/>
                      <w:lang w:val="zh-CN"/>
                    </w:rPr>
                    <w:t>用地性质为</w:t>
                  </w:r>
                  <w:r>
                    <w:rPr>
                      <w:rFonts w:hint="eastAsia"/>
                      <w:color w:val="auto"/>
                      <w:highlight w:val="none"/>
                    </w:rPr>
                    <w:t>工业</w:t>
                  </w:r>
                  <w:r>
                    <w:rPr>
                      <w:rFonts w:hint="eastAsia"/>
                      <w:color w:val="auto"/>
                      <w:highlight w:val="none"/>
                      <w:lang w:val="zh-CN"/>
                    </w:rPr>
                    <w:t>用地，</w:t>
                  </w:r>
                  <w:r>
                    <w:rPr>
                      <w:rFonts w:hint="eastAsia"/>
                      <w:color w:val="auto"/>
                      <w:highlight w:val="none"/>
                      <w:lang w:val="en-US" w:eastAsia="zh-CN"/>
                    </w:rPr>
                    <w:t>不属于文件中包含的限制和禁止事项。</w:t>
                  </w:r>
                </w:p>
              </w:tc>
              <w:tc>
                <w:tcPr>
                  <w:tcW w:w="587" w:type="pct"/>
                  <w:vAlign w:val="center"/>
                </w:tcPr>
                <w:p w14:paraId="0E22A5F1">
                  <w:pPr>
                    <w:pStyle w:val="48"/>
                    <w:tabs>
                      <w:tab w:val="left" w:pos="0"/>
                    </w:tabs>
                    <w:rPr>
                      <w:b/>
                      <w:bCs/>
                      <w:color w:val="auto"/>
                      <w:highlight w:val="none"/>
                    </w:rPr>
                  </w:pPr>
                  <w:r>
                    <w:rPr>
                      <w:color w:val="auto"/>
                      <w:highlight w:val="none"/>
                    </w:rPr>
                    <w:t>相符</w:t>
                  </w:r>
                </w:p>
              </w:tc>
            </w:tr>
            <w:tr w14:paraId="4C9A2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09" w:type="pct"/>
                  <w:vAlign w:val="center"/>
                </w:tcPr>
                <w:p w14:paraId="2889EA89">
                  <w:pPr>
                    <w:pStyle w:val="48"/>
                    <w:tabs>
                      <w:tab w:val="left" w:pos="0"/>
                    </w:tabs>
                    <w:rPr>
                      <w:color w:val="auto"/>
                      <w:highlight w:val="none"/>
                    </w:rPr>
                  </w:pPr>
                  <w:r>
                    <w:rPr>
                      <w:color w:val="auto"/>
                      <w:highlight w:val="none"/>
                    </w:rPr>
                    <w:t>《</w:t>
                  </w:r>
                  <w:r>
                    <w:rPr>
                      <w:rFonts w:hint="eastAsia"/>
                      <w:color w:val="auto"/>
                      <w:highlight w:val="none"/>
                    </w:rPr>
                    <w:t>江苏省限制用地项目目录（2013年本）》和《江苏省禁止用地项目目录（2013年本）》</w:t>
                  </w:r>
                </w:p>
              </w:tc>
              <w:tc>
                <w:tcPr>
                  <w:tcW w:w="2903" w:type="pct"/>
                  <w:vAlign w:val="center"/>
                </w:tcPr>
                <w:p w14:paraId="447150A4">
                  <w:pPr>
                    <w:pStyle w:val="48"/>
                    <w:tabs>
                      <w:tab w:val="left" w:pos="0"/>
                    </w:tabs>
                    <w:rPr>
                      <w:rFonts w:hint="eastAsia" w:eastAsia="宋体"/>
                      <w:color w:val="auto"/>
                      <w:highlight w:val="none"/>
                      <w:lang w:eastAsia="zh-CN"/>
                    </w:rPr>
                  </w:pPr>
                  <w:r>
                    <w:rPr>
                      <w:rFonts w:hint="eastAsia"/>
                      <w:color w:val="auto"/>
                      <w:highlight w:val="none"/>
                      <w:lang w:val="zh-CN"/>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lang w:val="zh-CN"/>
                    </w:rPr>
                    <w:t>，根据不动产权证，</w:t>
                  </w:r>
                  <w:r>
                    <w:rPr>
                      <w:rFonts w:hint="eastAsia"/>
                      <w:color w:val="auto"/>
                      <w:highlight w:val="none"/>
                      <w:lang w:val="en-US" w:eastAsia="zh-CN"/>
                    </w:rPr>
                    <w:t>园区</w:t>
                  </w:r>
                  <w:r>
                    <w:rPr>
                      <w:rFonts w:hint="eastAsia"/>
                      <w:color w:val="auto"/>
                      <w:highlight w:val="none"/>
                      <w:lang w:val="zh-CN"/>
                    </w:rPr>
                    <w:t>用地性质为</w:t>
                  </w:r>
                  <w:r>
                    <w:rPr>
                      <w:rFonts w:hint="eastAsia"/>
                      <w:color w:val="auto"/>
                      <w:highlight w:val="none"/>
                    </w:rPr>
                    <w:t>工业</w:t>
                  </w:r>
                  <w:r>
                    <w:rPr>
                      <w:rFonts w:hint="eastAsia"/>
                      <w:color w:val="auto"/>
                      <w:highlight w:val="none"/>
                      <w:lang w:val="zh-CN"/>
                    </w:rPr>
                    <w:t>用地，</w:t>
                  </w:r>
                  <w:r>
                    <w:rPr>
                      <w:rFonts w:hint="eastAsia"/>
                      <w:color w:val="auto"/>
                      <w:highlight w:val="none"/>
                    </w:rPr>
                    <w:t>不在《江苏省限制用地项目目录（2013年本）》和《江苏省禁止用地项目目录（2013年本）》</w:t>
                  </w:r>
                  <w:sdt>
                    <w:sdtPr>
                      <w:rPr>
                        <w:color w:val="auto"/>
                      </w:rPr>
                      <w:alias w:val="语法错误"/>
                      <w:tag w:val="reviewtag_0000FF"/>
                      <w:id w:val="1110253"/>
                    </w:sdtPr>
                    <w:sdtEndPr>
                      <w:rPr>
                        <w:color w:val="auto"/>
                      </w:rPr>
                    </w:sdtEndPr>
                    <w:sdtContent>
                      <w:bookmarkStart w:id="42" w:name="bkReivew1110253"/>
                      <w:r>
                        <w:rPr>
                          <w:rFonts w:hint="eastAsia"/>
                          <w:color w:val="auto"/>
                          <w:highlight w:val="none"/>
                        </w:rPr>
                        <w:t>目录</w:t>
                      </w:r>
                      <w:bookmarkEnd w:id="42"/>
                    </w:sdtContent>
                  </w:sdt>
                  <w:r>
                    <w:rPr>
                      <w:rFonts w:hint="eastAsia"/>
                      <w:color w:val="auto"/>
                      <w:highlight w:val="none"/>
                    </w:rPr>
                    <w:t>范围内</w:t>
                  </w:r>
                  <w:r>
                    <w:rPr>
                      <w:rFonts w:hint="eastAsia"/>
                      <w:color w:val="auto"/>
                      <w:highlight w:val="none"/>
                      <w:lang w:eastAsia="zh-CN"/>
                    </w:rPr>
                    <w:t>。</w:t>
                  </w:r>
                </w:p>
              </w:tc>
              <w:tc>
                <w:tcPr>
                  <w:tcW w:w="587" w:type="pct"/>
                  <w:vAlign w:val="center"/>
                </w:tcPr>
                <w:p w14:paraId="483581DC">
                  <w:pPr>
                    <w:pStyle w:val="48"/>
                    <w:tabs>
                      <w:tab w:val="left" w:pos="0"/>
                    </w:tabs>
                    <w:rPr>
                      <w:color w:val="auto"/>
                      <w:highlight w:val="none"/>
                    </w:rPr>
                  </w:pPr>
                  <w:r>
                    <w:rPr>
                      <w:color w:val="auto"/>
                      <w:highlight w:val="none"/>
                    </w:rPr>
                    <w:t>相符</w:t>
                  </w:r>
                </w:p>
              </w:tc>
            </w:tr>
          </w:tbl>
          <w:p w14:paraId="37BC2C40">
            <w:pPr>
              <w:ind w:firstLine="482"/>
              <w:rPr>
                <w:b/>
                <w:bCs/>
                <w:color w:val="auto"/>
                <w:highlight w:val="none"/>
              </w:rPr>
            </w:pPr>
            <w:bookmarkStart w:id="43" w:name="_Hlk61892080"/>
            <w:r>
              <w:rPr>
                <w:rFonts w:hint="eastAsia"/>
                <w:b/>
                <w:bCs/>
                <w:color w:val="auto"/>
                <w:highlight w:val="none"/>
                <w:lang w:eastAsia="zh-CN"/>
              </w:rPr>
              <w:t>3.</w:t>
            </w:r>
            <w:r>
              <w:rPr>
                <w:rFonts w:hint="eastAsia"/>
                <w:b/>
                <w:bCs/>
                <w:color w:val="auto"/>
                <w:highlight w:val="none"/>
              </w:rPr>
              <w:t>与生态环境分区管控要求相符性分析</w:t>
            </w:r>
          </w:p>
          <w:p w14:paraId="0F939190">
            <w:pPr>
              <w:ind w:firstLine="482"/>
              <w:rPr>
                <w:b/>
                <w:bCs/>
                <w:color w:val="auto"/>
                <w:highlight w:val="none"/>
              </w:rPr>
            </w:pPr>
            <w:r>
              <w:rPr>
                <w:rFonts w:hint="eastAsia"/>
                <w:b/>
                <w:bCs/>
                <w:color w:val="auto"/>
                <w:highlight w:val="none"/>
              </w:rPr>
              <w:t>（1）</w:t>
            </w:r>
            <w:r>
              <w:rPr>
                <w:b/>
                <w:bCs/>
                <w:color w:val="auto"/>
                <w:highlight w:val="none"/>
              </w:rPr>
              <w:t>生态保护红线</w:t>
            </w:r>
          </w:p>
          <w:p w14:paraId="13D352BF">
            <w:pPr>
              <w:ind w:firstLine="480"/>
              <w:rPr>
                <w:rFonts w:hint="eastAsia"/>
                <w:color w:val="auto"/>
                <w:highlight w:val="none"/>
              </w:rPr>
            </w:pPr>
            <w:r>
              <w:rPr>
                <w:color w:val="auto"/>
                <w:highlight w:val="none"/>
              </w:rPr>
              <w:t>本项目位于</w:t>
            </w:r>
            <w:r>
              <w:rPr>
                <w:rFonts w:hint="eastAsia"/>
                <w:color w:val="auto"/>
                <w:szCs w:val="22"/>
                <w:highlight w:val="none"/>
                <w:lang w:eastAsia="zh-CN"/>
              </w:rPr>
              <w:t>南京市</w:t>
            </w:r>
            <w:r>
              <w:rPr>
                <w:rFonts w:hint="eastAsia"/>
                <w:color w:val="auto"/>
                <w:szCs w:val="22"/>
                <w:highlight w:val="none"/>
                <w:lang w:val="en-US" w:eastAsia="zh-CN"/>
              </w:rPr>
              <w:t>江宁经济技术开发区</w:t>
            </w:r>
            <w:r>
              <w:rPr>
                <w:rFonts w:hint="eastAsia"/>
                <w:color w:val="auto"/>
                <w:highlight w:val="none"/>
                <w:lang w:val="en-US" w:eastAsia="zh-CN"/>
              </w:rPr>
              <w:t>横溪街道乐园路7号</w:t>
            </w:r>
            <w:r>
              <w:rPr>
                <w:rFonts w:hint="eastAsia"/>
                <w:color w:val="auto"/>
                <w:highlight w:val="none"/>
              </w:rPr>
              <w:t>。对照《自然资源部办公厅关于北京等省（区、市）启用“三区三线”划定成果作为报批建设项目用地用海依据的函》（自然资办函〔2022〕2207号）、南京市“三区三线”划定成果、《南京市江宁区2023年度生态空间管控区调整方案》</w:t>
            </w:r>
            <w:r>
              <w:rPr>
                <w:rFonts w:hint="eastAsia"/>
                <w:color w:val="auto"/>
                <w:highlight w:val="none"/>
                <w:lang w:eastAsia="zh-CN"/>
              </w:rPr>
              <w:t>《江苏省自然资源厅关于南京市生态空间管控区域评估优化成果的复函</w:t>
            </w:r>
            <w:r>
              <w:rPr>
                <w:rFonts w:hint="eastAsia"/>
                <w:color w:val="auto"/>
                <w:highlight w:val="none"/>
              </w:rPr>
              <w:t>》（苏自然资函</w:t>
            </w:r>
            <w:r>
              <w:rPr>
                <w:rFonts w:hint="eastAsia"/>
                <w:color w:val="auto"/>
                <w:highlight w:val="none"/>
                <w:lang w:eastAsia="zh-CN"/>
              </w:rPr>
              <w:t>〔</w:t>
            </w:r>
            <w:r>
              <w:rPr>
                <w:rFonts w:hint="eastAsia"/>
                <w:color w:val="auto"/>
                <w:highlight w:val="none"/>
              </w:rPr>
              <w:t>202</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1</w:t>
            </w:r>
            <w:r>
              <w:rPr>
                <w:rFonts w:hint="eastAsia"/>
                <w:color w:val="auto"/>
                <w:highlight w:val="none"/>
                <w:lang w:val="en-US" w:eastAsia="zh-CN"/>
              </w:rPr>
              <w:t>69</w:t>
            </w:r>
            <w:r>
              <w:rPr>
                <w:rFonts w:hint="eastAsia"/>
                <w:color w:val="auto"/>
                <w:highlight w:val="none"/>
              </w:rPr>
              <w:t>号），本项目所在地及评价范围不在其划定的生态保护红线、生态空间管控区范围内。</w:t>
            </w:r>
            <w:r>
              <w:rPr>
                <w:rFonts w:hint="eastAsia" w:ascii="宋体" w:hAnsi="宋体" w:cs="宋体"/>
                <w:color w:val="auto"/>
                <w:kern w:val="0"/>
                <w:highlight w:val="none"/>
                <w:lang w:bidi="ar"/>
              </w:rPr>
              <w:t>与本项目距离最近</w:t>
            </w:r>
            <w:r>
              <w:rPr>
                <w:rFonts w:hint="default" w:ascii="Times New Roman" w:hAnsi="Times New Roman" w:cs="Times New Roman"/>
                <w:color w:val="auto"/>
                <w:kern w:val="0"/>
                <w:highlight w:val="none"/>
                <w:lang w:bidi="ar"/>
              </w:rPr>
              <w:t>的</w:t>
            </w:r>
            <w:r>
              <w:rPr>
                <w:rFonts w:hint="default" w:ascii="Times New Roman" w:hAnsi="Times New Roman" w:cs="Times New Roman"/>
                <w:color w:val="auto"/>
                <w:highlight w:val="none"/>
              </w:rPr>
              <w:t>生态保护红线</w:t>
            </w:r>
            <w:r>
              <w:rPr>
                <w:rFonts w:hint="default" w:ascii="Times New Roman" w:hAnsi="Times New Roman" w:cs="Times New Roman"/>
                <w:color w:val="auto"/>
                <w:kern w:val="0"/>
                <w:highlight w:val="none"/>
                <w:lang w:bidi="ar"/>
              </w:rPr>
              <w:t>为位于项目</w:t>
            </w:r>
            <w:r>
              <w:rPr>
                <w:rFonts w:hint="eastAsia" w:cs="Times New Roman"/>
                <w:color w:val="auto"/>
                <w:kern w:val="0"/>
                <w:highlight w:val="none"/>
                <w:lang w:val="en-US" w:eastAsia="zh-CN" w:bidi="ar"/>
              </w:rPr>
              <w:t>东北</w:t>
            </w:r>
            <w:r>
              <w:rPr>
                <w:rFonts w:hint="default" w:ascii="Times New Roman" w:hAnsi="Times New Roman" w:cs="Times New Roman"/>
                <w:color w:val="auto"/>
                <w:kern w:val="0"/>
                <w:highlight w:val="none"/>
                <w:lang w:bidi="ar"/>
              </w:rPr>
              <w:t>侧的</w:t>
            </w:r>
            <w:r>
              <w:rPr>
                <w:rFonts w:hint="default" w:ascii="Times New Roman" w:hAnsi="Times New Roman" w:cs="Times New Roman"/>
                <w:color w:val="auto"/>
                <w:kern w:val="0"/>
                <w:highlight w:val="none"/>
                <w:lang w:val="en-US" w:eastAsia="zh-CN" w:bidi="ar"/>
              </w:rPr>
              <w:t>江苏南京上秦淮省级湿地公园</w:t>
            </w:r>
            <w:r>
              <w:rPr>
                <w:rFonts w:hint="default" w:ascii="Times New Roman" w:hAnsi="Times New Roman" w:cs="Times New Roman"/>
                <w:color w:val="auto"/>
                <w:szCs w:val="21"/>
                <w:highlight w:val="none"/>
              </w:rPr>
              <w:t>，</w:t>
            </w:r>
            <w:r>
              <w:rPr>
                <w:rFonts w:hint="default" w:ascii="Times New Roman" w:hAnsi="Times New Roman" w:cs="Times New Roman"/>
                <w:color w:val="auto"/>
                <w:kern w:val="0"/>
                <w:highlight w:val="none"/>
                <w:lang w:bidi="ar"/>
              </w:rPr>
              <w:t>与项目</w:t>
            </w:r>
            <w:r>
              <w:rPr>
                <w:rFonts w:hint="eastAsia" w:cs="Times New Roman"/>
                <w:color w:val="auto"/>
                <w:kern w:val="0"/>
                <w:highlight w:val="none"/>
                <w:lang w:val="en-US" w:eastAsia="zh-CN" w:bidi="ar"/>
              </w:rPr>
              <w:t>所在地</w:t>
            </w:r>
            <w:r>
              <w:rPr>
                <w:rFonts w:hint="default" w:ascii="Times New Roman" w:hAnsi="Times New Roman" w:cs="Times New Roman"/>
                <w:color w:val="auto"/>
                <w:kern w:val="0"/>
                <w:highlight w:val="none"/>
                <w:lang w:bidi="ar"/>
              </w:rPr>
              <w:t>最近直线距离约为</w:t>
            </w:r>
            <w:r>
              <w:rPr>
                <w:rFonts w:hint="eastAsia" w:cs="Times New Roman"/>
                <w:color w:val="auto"/>
                <w:kern w:val="0"/>
                <w:highlight w:val="none"/>
                <w:lang w:val="en-US" w:eastAsia="zh-CN" w:bidi="ar"/>
              </w:rPr>
              <w:t>10.13</w:t>
            </w:r>
            <w:r>
              <w:rPr>
                <w:rFonts w:hint="default" w:ascii="Times New Roman" w:hAnsi="Times New Roman" w:cs="Times New Roman"/>
                <w:color w:val="auto"/>
                <w:kern w:val="0"/>
                <w:highlight w:val="none"/>
                <w:lang w:val="en-US" w:eastAsia="zh-CN" w:bidi="ar"/>
              </w:rPr>
              <w:t>k</w:t>
            </w:r>
            <w:r>
              <w:rPr>
                <w:rFonts w:hint="default" w:ascii="Times New Roman" w:hAnsi="Times New Roman" w:cs="Times New Roman"/>
                <w:color w:val="auto"/>
                <w:kern w:val="0"/>
                <w:highlight w:val="none"/>
                <w:lang w:bidi="ar"/>
              </w:rPr>
              <w:t>m。</w:t>
            </w:r>
            <w:r>
              <w:rPr>
                <w:rFonts w:hint="default" w:ascii="Times New Roman" w:hAnsi="Times New Roman" w:cs="Times New Roman"/>
                <w:color w:val="auto"/>
                <w:highlight w:val="none"/>
              </w:rPr>
              <w:t>本项</w:t>
            </w:r>
            <w:r>
              <w:rPr>
                <w:rFonts w:hint="eastAsia"/>
                <w:color w:val="auto"/>
                <w:highlight w:val="none"/>
              </w:rPr>
              <w:t>目与江宁区生态保护红线分布图（2023年）见附图</w:t>
            </w:r>
            <w:r>
              <w:rPr>
                <w:rFonts w:hint="eastAsia"/>
                <w:color w:val="auto"/>
                <w:highlight w:val="none"/>
                <w:lang w:val="en-US" w:eastAsia="zh-CN"/>
              </w:rPr>
              <w:t>3</w:t>
            </w:r>
            <w:r>
              <w:rPr>
                <w:rFonts w:hint="eastAsia"/>
                <w:color w:val="auto"/>
                <w:highlight w:val="none"/>
              </w:rPr>
              <w:t>。与本项目最近的生态空间管控区域是</w:t>
            </w:r>
            <w:r>
              <w:rPr>
                <w:rFonts w:hint="default" w:ascii="Times New Roman" w:hAnsi="Times New Roman" w:cs="Times New Roman"/>
                <w:color w:val="auto"/>
                <w:kern w:val="0"/>
                <w:highlight w:val="none"/>
                <w:lang w:bidi="ar"/>
              </w:rPr>
              <w:t>位于项目</w:t>
            </w:r>
            <w:r>
              <w:rPr>
                <w:rFonts w:hint="eastAsia" w:cs="Times New Roman"/>
                <w:color w:val="auto"/>
                <w:kern w:val="0"/>
                <w:highlight w:val="none"/>
                <w:lang w:val="en-US" w:eastAsia="zh-CN" w:bidi="ar"/>
              </w:rPr>
              <w:t>西北侧</w:t>
            </w:r>
            <w:r>
              <w:rPr>
                <w:rFonts w:hint="default" w:ascii="Times New Roman" w:hAnsi="Times New Roman" w:cs="Times New Roman"/>
                <w:color w:val="auto"/>
                <w:kern w:val="0"/>
                <w:highlight w:val="none"/>
                <w:lang w:bidi="ar"/>
              </w:rPr>
              <w:t>的</w:t>
            </w:r>
            <w:r>
              <w:rPr>
                <w:rFonts w:hint="eastAsia"/>
                <w:color w:val="auto"/>
                <w:highlight w:val="none"/>
                <w:lang w:val="en-US" w:eastAsia="zh-CN"/>
              </w:rPr>
              <w:t>东坑生态公益林</w:t>
            </w:r>
            <w:r>
              <w:rPr>
                <w:rFonts w:hint="eastAsia" w:ascii="宋体" w:hAnsi="宋体" w:cs="宋体"/>
                <w:color w:val="auto"/>
                <w:kern w:val="0"/>
                <w:highlight w:val="none"/>
                <w:lang w:bidi="ar"/>
              </w:rPr>
              <w:t>，与项目</w:t>
            </w:r>
            <w:r>
              <w:rPr>
                <w:rFonts w:hint="eastAsia" w:cs="Times New Roman"/>
                <w:color w:val="auto"/>
                <w:kern w:val="0"/>
                <w:highlight w:val="none"/>
                <w:lang w:val="en-US" w:eastAsia="zh-CN" w:bidi="ar"/>
              </w:rPr>
              <w:t>所在地</w:t>
            </w:r>
            <w:r>
              <w:rPr>
                <w:rFonts w:hint="eastAsia" w:ascii="宋体" w:hAnsi="宋体" w:cs="宋体"/>
                <w:color w:val="auto"/>
                <w:kern w:val="0"/>
                <w:highlight w:val="none"/>
                <w:lang w:bidi="ar"/>
              </w:rPr>
              <w:t>最近直线距离约为</w:t>
            </w:r>
            <w:r>
              <w:rPr>
                <w:rFonts w:hint="eastAsia"/>
                <w:color w:val="auto"/>
                <w:kern w:val="0"/>
                <w:highlight w:val="none"/>
                <w:lang w:val="en-US" w:eastAsia="zh-CN" w:bidi="ar"/>
              </w:rPr>
              <w:t>3.91k</w:t>
            </w:r>
            <w:r>
              <w:rPr>
                <w:color w:val="auto"/>
                <w:kern w:val="0"/>
                <w:highlight w:val="none"/>
                <w:lang w:bidi="ar"/>
              </w:rPr>
              <w:t>m</w:t>
            </w:r>
            <w:r>
              <w:rPr>
                <w:rFonts w:hint="eastAsia"/>
                <w:color w:val="auto"/>
                <w:kern w:val="0"/>
                <w:highlight w:val="none"/>
                <w:lang w:bidi="ar"/>
              </w:rPr>
              <w:t>。</w:t>
            </w:r>
            <w:r>
              <w:rPr>
                <w:rFonts w:hint="eastAsia"/>
                <w:color w:val="auto"/>
                <w:highlight w:val="none"/>
              </w:rPr>
              <w:t>本项目与</w:t>
            </w:r>
            <w:r>
              <w:rPr>
                <w:rFonts w:hint="eastAsia"/>
                <w:color w:val="auto"/>
                <w:kern w:val="0"/>
                <w:highlight w:val="none"/>
                <w:lang w:bidi="ar"/>
              </w:rPr>
              <w:t>江宁区生态空间管控区域分布图（202</w:t>
            </w:r>
            <w:r>
              <w:rPr>
                <w:rFonts w:hint="eastAsia"/>
                <w:color w:val="auto"/>
                <w:kern w:val="0"/>
                <w:highlight w:val="none"/>
                <w:lang w:val="en-US" w:eastAsia="zh-CN" w:bidi="ar"/>
              </w:rPr>
              <w:t>6</w:t>
            </w:r>
            <w:r>
              <w:rPr>
                <w:rFonts w:hint="eastAsia"/>
                <w:color w:val="auto"/>
                <w:kern w:val="0"/>
                <w:highlight w:val="none"/>
                <w:lang w:bidi="ar"/>
              </w:rPr>
              <w:t>年）</w:t>
            </w:r>
            <w:r>
              <w:rPr>
                <w:rFonts w:hint="eastAsia"/>
                <w:color w:val="auto"/>
                <w:highlight w:val="none"/>
              </w:rPr>
              <w:t>见附图</w:t>
            </w:r>
            <w:r>
              <w:rPr>
                <w:rFonts w:hint="eastAsia"/>
                <w:color w:val="auto"/>
                <w:highlight w:val="none"/>
                <w:lang w:val="en-US" w:eastAsia="zh-CN"/>
              </w:rPr>
              <w:t>4</w:t>
            </w:r>
            <w:r>
              <w:rPr>
                <w:rFonts w:hint="eastAsia"/>
                <w:color w:val="auto"/>
                <w:highlight w:val="none"/>
              </w:rPr>
              <w:t>。</w:t>
            </w:r>
          </w:p>
          <w:p w14:paraId="5521F1DA">
            <w:pPr>
              <w:ind w:firstLine="480"/>
              <w:rPr>
                <w:rFonts w:hint="eastAsia"/>
                <w:color w:val="auto"/>
                <w:highlight w:val="none"/>
                <w:lang w:val="en-US" w:eastAsia="zh-CN"/>
              </w:rPr>
            </w:pPr>
            <w:bookmarkStart w:id="44" w:name="sys219036"/>
            <w:r>
              <w:rPr>
                <w:rFonts w:hint="eastAsia"/>
                <w:color w:val="auto"/>
                <w:highlight w:val="none"/>
              </w:rPr>
              <w:t>本项目</w:t>
            </w:r>
            <w:r>
              <w:rPr>
                <w:rFonts w:hint="eastAsia"/>
                <w:color w:val="auto"/>
                <w:highlight w:val="none"/>
                <w:lang w:val="en-US" w:eastAsia="zh-CN"/>
              </w:rPr>
              <w:t>于江苏省生态环境分区管控综合服务系统查询结果见图1-1、图1-2。</w:t>
            </w:r>
            <w:bookmarkEnd w:id="44"/>
          </w:p>
          <w:p w14:paraId="079BC0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highlight w:val="none"/>
              </w:rPr>
            </w:pPr>
            <w:r>
              <w:rPr>
                <w:color w:val="auto"/>
              </w:rPr>
              <w:drawing>
                <wp:inline distT="0" distB="0" distL="114300" distR="114300">
                  <wp:extent cx="5275580" cy="2977515"/>
                  <wp:effectExtent l="0" t="0" r="1270" b="13335"/>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12"/>
                          <a:stretch>
                            <a:fillRect/>
                          </a:stretch>
                        </pic:blipFill>
                        <pic:spPr>
                          <a:xfrm>
                            <a:off x="0" y="0"/>
                            <a:ext cx="5275580" cy="2977515"/>
                          </a:xfrm>
                          <a:prstGeom prst="rect">
                            <a:avLst/>
                          </a:prstGeom>
                          <a:noFill/>
                          <a:ln>
                            <a:noFill/>
                          </a:ln>
                        </pic:spPr>
                      </pic:pic>
                    </a:graphicData>
                  </a:graphic>
                </wp:inline>
              </w:drawing>
            </w:r>
          </w:p>
          <w:p w14:paraId="5C1181B7">
            <w:pPr>
              <w:pStyle w:val="55"/>
              <w:bidi w:val="0"/>
              <w:rPr>
                <w:rFonts w:hint="eastAsia"/>
                <w:color w:val="auto"/>
                <w:highlight w:val="none"/>
                <w:lang w:val="en-US" w:eastAsia="zh-CN"/>
              </w:rPr>
            </w:pPr>
            <w:r>
              <w:rPr>
                <w:rFonts w:hint="eastAsia"/>
                <w:color w:val="auto"/>
                <w:highlight w:val="none"/>
                <w:lang w:val="en-US" w:eastAsia="zh-CN"/>
              </w:rPr>
              <w:t>图1-1 本项目距离最近生态保护红线查询截图</w:t>
            </w:r>
          </w:p>
          <w:p w14:paraId="2F7609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274945" cy="2519680"/>
                  <wp:effectExtent l="0" t="0" r="1905" b="13970"/>
                  <wp:docPr id="2" name="图片 2" descr="3f9d1f49-f8e1-4340-9129-f1f04b5d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f9d1f49-f8e1-4340-9129-f1f04b5d7606"/>
                          <pic:cNvPicPr>
                            <a:picLocks noChangeAspect="1"/>
                          </pic:cNvPicPr>
                        </pic:nvPicPr>
                        <pic:blipFill>
                          <a:blip r:embed="rId13"/>
                          <a:stretch>
                            <a:fillRect/>
                          </a:stretch>
                        </pic:blipFill>
                        <pic:spPr>
                          <a:xfrm>
                            <a:off x="0" y="0"/>
                            <a:ext cx="5274945" cy="2519680"/>
                          </a:xfrm>
                          <a:prstGeom prst="rect">
                            <a:avLst/>
                          </a:prstGeom>
                        </pic:spPr>
                      </pic:pic>
                    </a:graphicData>
                  </a:graphic>
                </wp:inline>
              </w:drawing>
            </w:r>
          </w:p>
          <w:p w14:paraId="75081F45">
            <w:pPr>
              <w:pStyle w:val="55"/>
              <w:bidi w:val="0"/>
              <w:rPr>
                <w:color w:val="auto"/>
                <w:highlight w:val="none"/>
              </w:rPr>
            </w:pPr>
            <w:r>
              <w:rPr>
                <w:rFonts w:hint="eastAsia"/>
                <w:color w:val="auto"/>
                <w:highlight w:val="none"/>
                <w:lang w:val="en-US" w:eastAsia="zh-CN"/>
              </w:rPr>
              <w:t>图1-2 本项目距离最近生态空间管控区域查询截图</w:t>
            </w:r>
          </w:p>
          <w:p w14:paraId="0DE18BD2">
            <w:pPr>
              <w:ind w:firstLine="480"/>
              <w:rPr>
                <w:color w:val="auto"/>
                <w:highlight w:val="none"/>
              </w:rPr>
            </w:pPr>
            <w:r>
              <w:rPr>
                <w:rFonts w:hint="eastAsia" w:ascii="宋体" w:hAnsi="宋体" w:cs="宋体"/>
                <w:color w:val="auto"/>
                <w:kern w:val="0"/>
                <w:highlight w:val="none"/>
                <w:lang w:bidi="ar"/>
              </w:rPr>
              <w:t>本项目建设不会导致区域生态空间保护区生态服务功能下降，不违背江苏省、南京市生态红线区域保护规划</w:t>
            </w:r>
            <w:bookmarkStart w:id="45" w:name="bkReivew2060213"/>
            <w:bookmarkEnd w:id="45"/>
            <w:r>
              <w:rPr>
                <w:rFonts w:hint="eastAsia" w:ascii="宋体" w:hAnsi="宋体" w:cs="宋体"/>
                <w:color w:val="auto"/>
                <w:kern w:val="0"/>
                <w:highlight w:val="none"/>
                <w:lang w:bidi="ar"/>
              </w:rPr>
              <w:t>的要求。</w:t>
            </w:r>
          </w:p>
          <w:p w14:paraId="395610C1">
            <w:pPr>
              <w:ind w:firstLine="482"/>
              <w:rPr>
                <w:b/>
                <w:bCs/>
                <w:color w:val="auto"/>
                <w:highlight w:val="none"/>
              </w:rPr>
            </w:pPr>
            <w:r>
              <w:rPr>
                <w:b/>
                <w:bCs/>
                <w:color w:val="auto"/>
                <w:highlight w:val="none"/>
              </w:rPr>
              <w:t>（2）环境质量底线</w:t>
            </w:r>
          </w:p>
          <w:p w14:paraId="5B586060">
            <w:pPr>
              <w:bidi w:val="0"/>
              <w:rPr>
                <w:color w:val="auto"/>
                <w:highlight w:val="none"/>
              </w:rPr>
            </w:pPr>
            <w:r>
              <w:rPr>
                <w:rFonts w:hint="eastAsia"/>
                <w:b w:val="0"/>
                <w:bCs w:val="0"/>
                <w:color w:val="auto"/>
                <w:highlight w:val="none"/>
              </w:rPr>
              <w:t>环境质量底线是国家和地方设置的大气、水和土壤环境质量目标，也是改善环境质量的基准线。</w:t>
            </w:r>
            <w:bookmarkStart w:id="46" w:name="sys2264258"/>
            <w:r>
              <w:rPr>
                <w:rFonts w:hint="eastAsia"/>
                <w:b w:val="0"/>
                <w:bCs w:val="0"/>
                <w:color w:val="auto"/>
                <w:highlight w:val="none"/>
              </w:rPr>
              <w:t>根据《202</w:t>
            </w:r>
            <w:r>
              <w:rPr>
                <w:rFonts w:hint="eastAsia"/>
                <w:b w:val="0"/>
                <w:bCs w:val="0"/>
                <w:color w:val="auto"/>
                <w:highlight w:val="none"/>
                <w:lang w:val="en-US" w:eastAsia="zh-CN"/>
              </w:rPr>
              <w:t>5</w:t>
            </w:r>
            <w:r>
              <w:rPr>
                <w:rFonts w:hint="eastAsia"/>
                <w:b w:val="0"/>
                <w:bCs w:val="0"/>
                <w:color w:val="auto"/>
                <w:highlight w:val="none"/>
              </w:rPr>
              <w:t>年南京市生态环境状况公报》</w:t>
            </w:r>
            <w:r>
              <w:rPr>
                <w:rFonts w:hint="eastAsia"/>
                <w:b w:val="0"/>
                <w:bCs w:val="0"/>
                <w:color w:val="auto"/>
                <w:highlight w:val="none"/>
                <w:lang w:val="zh-CN"/>
              </w:rPr>
              <w:t>统计结果，项目所在地六项污染物</w:t>
            </w:r>
            <w:r>
              <w:rPr>
                <w:rFonts w:hint="eastAsia"/>
                <w:b w:val="0"/>
                <w:bCs w:val="0"/>
                <w:color w:val="auto"/>
                <w:highlight w:val="none"/>
                <w:lang w:val="en-US" w:eastAsia="zh-CN"/>
              </w:rPr>
              <w:t>均</w:t>
            </w:r>
            <w:r>
              <w:rPr>
                <w:rFonts w:hint="eastAsia"/>
                <w:b w:val="0"/>
                <w:bCs w:val="0"/>
                <w:color w:val="auto"/>
                <w:highlight w:val="none"/>
                <w:lang w:val="zh-CN"/>
              </w:rPr>
              <w:t>达标，项目所在区域为城市环境空气质量达标区。</w:t>
            </w:r>
            <w:bookmarkEnd w:id="46"/>
          </w:p>
          <w:p w14:paraId="20E68A5E">
            <w:pPr>
              <w:bidi w:val="0"/>
              <w:rPr>
                <w:color w:val="auto"/>
                <w:highlight w:val="none"/>
              </w:rPr>
            </w:pPr>
            <w:bookmarkStart w:id="47" w:name="sys227084"/>
            <w:r>
              <w:rPr>
                <w:rFonts w:hint="eastAsia"/>
                <w:color w:val="auto"/>
                <w:highlight w:val="none"/>
              </w:rPr>
              <w:t>本项目现状环境空气引用的监测点位</w:t>
            </w:r>
            <w:r>
              <w:rPr>
                <w:rFonts w:hint="eastAsia"/>
                <w:color w:val="auto"/>
                <w:highlight w:val="none"/>
                <w:lang w:val="en-US" w:eastAsia="zh-CN"/>
              </w:rPr>
              <w:t>TSP</w:t>
            </w:r>
            <w:r>
              <w:rPr>
                <w:rFonts w:hint="eastAsia" w:ascii="Times New Roman" w:hAnsi="Times New Roman" w:eastAsia="宋体" w:cs="Times New Roman"/>
                <w:color w:val="auto"/>
                <w:spacing w:val="-1"/>
                <w:sz w:val="24"/>
                <w:szCs w:val="24"/>
                <w:highlight w:val="none"/>
                <w:lang w:val="en-US" w:eastAsia="zh-CN"/>
              </w:rPr>
              <w:t>浓度符合</w:t>
            </w:r>
            <w:r>
              <w:rPr>
                <w:rFonts w:hint="default" w:ascii="Times New Roman" w:hAnsi="Times New Roman" w:eastAsia="宋体" w:cs="Times New Roman"/>
                <w:color w:val="auto"/>
                <w:spacing w:val="-1"/>
                <w:sz w:val="24"/>
                <w:szCs w:val="24"/>
                <w:highlight w:val="none"/>
              </w:rPr>
              <w:t>《环境空气质量标准》（</w:t>
            </w:r>
            <w:r>
              <w:rPr>
                <w:rFonts w:hint="eastAsia" w:cs="Times New Roman"/>
                <w:color w:val="auto"/>
                <w:spacing w:val="-1"/>
                <w:sz w:val="24"/>
                <w:szCs w:val="24"/>
                <w:highlight w:val="none"/>
                <w:lang w:eastAsia="zh-CN"/>
              </w:rPr>
              <w:t>GB 3095-20</w:t>
            </w:r>
            <w:r>
              <w:rPr>
                <w:rFonts w:hint="eastAsia" w:cs="Times New Roman"/>
                <w:color w:val="auto"/>
                <w:spacing w:val="-1"/>
                <w:sz w:val="24"/>
                <w:szCs w:val="24"/>
                <w:highlight w:val="none"/>
                <w:lang w:val="en-US" w:eastAsia="zh-CN"/>
              </w:rPr>
              <w:t>12</w:t>
            </w:r>
            <w:r>
              <w:rPr>
                <w:rFonts w:hint="default" w:ascii="Times New Roman" w:hAnsi="Times New Roman" w:eastAsia="宋体" w:cs="Times New Roman"/>
                <w:color w:val="auto"/>
                <w:spacing w:val="-1"/>
                <w:sz w:val="24"/>
                <w:szCs w:val="24"/>
                <w:highlight w:val="none"/>
              </w:rPr>
              <w:t>）二级标准</w:t>
            </w:r>
            <w:r>
              <w:rPr>
                <w:rFonts w:hint="eastAsia" w:cs="Times New Roman"/>
                <w:color w:val="auto"/>
                <w:spacing w:val="-1"/>
                <w:sz w:val="24"/>
                <w:szCs w:val="24"/>
                <w:highlight w:val="none"/>
                <w:lang w:eastAsia="zh-CN"/>
              </w:rPr>
              <w:t>，</w:t>
            </w:r>
            <w:r>
              <w:rPr>
                <w:rFonts w:hint="eastAsia"/>
                <w:color w:val="auto"/>
                <w:highlight w:val="none"/>
                <w:lang w:val="en-US" w:eastAsia="zh-CN"/>
              </w:rPr>
              <w:t>也满足</w:t>
            </w:r>
            <w:r>
              <w:rPr>
                <w:rFonts w:hint="default" w:ascii="Times New Roman" w:hAnsi="Times New Roman" w:eastAsia="宋体" w:cs="Times New Roman"/>
                <w:color w:val="auto"/>
                <w:spacing w:val="-1"/>
                <w:sz w:val="24"/>
                <w:szCs w:val="24"/>
                <w:highlight w:val="none"/>
              </w:rPr>
              <w:t>《环境空气质量标准》（</w:t>
            </w:r>
            <w:r>
              <w:rPr>
                <w:rFonts w:hint="eastAsia" w:cs="Times New Roman"/>
                <w:color w:val="auto"/>
                <w:spacing w:val="-1"/>
                <w:sz w:val="24"/>
                <w:szCs w:val="24"/>
                <w:highlight w:val="none"/>
                <w:lang w:eastAsia="zh-CN"/>
              </w:rPr>
              <w:t>GB 3095-2026</w:t>
            </w:r>
            <w:r>
              <w:rPr>
                <w:rFonts w:hint="default" w:ascii="Times New Roman" w:hAnsi="Times New Roman" w:eastAsia="宋体" w:cs="Times New Roman"/>
                <w:color w:val="auto"/>
                <w:spacing w:val="-1"/>
                <w:sz w:val="24"/>
                <w:szCs w:val="24"/>
                <w:highlight w:val="none"/>
              </w:rPr>
              <w:t>）二级标准</w:t>
            </w:r>
            <w:r>
              <w:rPr>
                <w:rFonts w:hint="default"/>
                <w:color w:val="auto"/>
                <w:highlight w:val="none"/>
              </w:rPr>
              <w:t>。</w:t>
            </w:r>
            <w:bookmarkEnd w:id="47"/>
          </w:p>
          <w:p w14:paraId="5FF31BF6">
            <w:pPr>
              <w:ind w:firstLine="480"/>
              <w:rPr>
                <w:color w:val="auto"/>
                <w:highlight w:val="none"/>
              </w:rPr>
            </w:pPr>
            <w:r>
              <w:rPr>
                <w:rFonts w:hint="eastAsia"/>
                <w:b w:val="0"/>
                <w:bCs w:val="0"/>
                <w:color w:val="auto"/>
                <w:highlight w:val="none"/>
                <w:lang w:val="zh-CN"/>
              </w:rPr>
              <w:t>本项目</w:t>
            </w:r>
            <w:r>
              <w:rPr>
                <w:rFonts w:hint="eastAsia"/>
                <w:b w:val="0"/>
                <w:bCs w:val="0"/>
                <w:color w:val="auto"/>
                <w:highlight w:val="none"/>
              </w:rPr>
              <w:t>废气</w:t>
            </w:r>
            <w:r>
              <w:rPr>
                <w:rFonts w:hint="eastAsia"/>
                <w:b w:val="0"/>
                <w:bCs w:val="0"/>
                <w:color w:val="auto"/>
                <w:highlight w:val="none"/>
                <w:lang w:eastAsia="zh-CN"/>
              </w:rPr>
              <w:t>、</w:t>
            </w:r>
            <w:r>
              <w:rPr>
                <w:rFonts w:hint="eastAsia"/>
                <w:b w:val="0"/>
                <w:bCs w:val="0"/>
                <w:color w:val="auto"/>
                <w:highlight w:val="none"/>
                <w:lang w:val="en-US" w:eastAsia="zh-CN"/>
              </w:rPr>
              <w:t>废水</w:t>
            </w:r>
            <w:r>
              <w:rPr>
                <w:rFonts w:hint="eastAsia"/>
                <w:b w:val="0"/>
                <w:bCs w:val="0"/>
                <w:color w:val="auto"/>
                <w:highlight w:val="none"/>
              </w:rPr>
              <w:t>经处理后</w:t>
            </w:r>
            <w:r>
              <w:rPr>
                <w:rFonts w:hint="eastAsia"/>
                <w:b w:val="0"/>
                <w:bCs w:val="0"/>
                <w:color w:val="auto"/>
                <w:highlight w:val="none"/>
                <w:lang w:val="en-US" w:eastAsia="zh-CN"/>
              </w:rPr>
              <w:t>均</w:t>
            </w:r>
            <w:r>
              <w:rPr>
                <w:rFonts w:hint="eastAsia"/>
                <w:b w:val="0"/>
                <w:bCs w:val="0"/>
                <w:color w:val="auto"/>
                <w:highlight w:val="none"/>
              </w:rPr>
              <w:t>能</w:t>
            </w:r>
            <w:r>
              <w:rPr>
                <w:rFonts w:hint="eastAsia"/>
                <w:b w:val="0"/>
                <w:bCs w:val="0"/>
                <w:color w:val="auto"/>
                <w:highlight w:val="none"/>
                <w:lang w:val="en-US" w:eastAsia="zh-CN"/>
              </w:rPr>
              <w:t>达标排放</w:t>
            </w:r>
            <w:r>
              <w:rPr>
                <w:rFonts w:hint="eastAsia"/>
                <w:b w:val="0"/>
                <w:bCs w:val="0"/>
                <w:color w:val="auto"/>
                <w:highlight w:val="none"/>
                <w:lang w:val="zh-CN"/>
              </w:rPr>
              <w:t>，</w:t>
            </w:r>
            <w:r>
              <w:rPr>
                <w:rFonts w:hint="eastAsia"/>
                <w:b w:val="0"/>
                <w:bCs w:val="0"/>
                <w:color w:val="auto"/>
                <w:highlight w:val="none"/>
                <w:lang w:val="en-US" w:eastAsia="zh-CN"/>
              </w:rPr>
              <w:t>高噪声设备通过采用</w:t>
            </w:r>
            <w:r>
              <w:rPr>
                <w:rFonts w:hint="eastAsia"/>
                <w:b w:val="0"/>
                <w:bCs w:val="0"/>
                <w:color w:val="auto"/>
                <w:highlight w:val="none"/>
                <w:lang w:val="zh-CN"/>
              </w:rPr>
              <w:t>合理布局、设备减振等</w:t>
            </w:r>
            <w:r>
              <w:rPr>
                <w:rFonts w:hint="eastAsia"/>
                <w:b w:val="0"/>
                <w:bCs w:val="0"/>
                <w:color w:val="auto"/>
                <w:highlight w:val="none"/>
                <w:lang w:val="en-US" w:eastAsia="zh-CN"/>
              </w:rPr>
              <w:t>措施后，厂界环境噪声达标排放</w:t>
            </w:r>
            <w:r>
              <w:rPr>
                <w:rFonts w:hint="eastAsia"/>
                <w:b w:val="0"/>
                <w:bCs w:val="0"/>
                <w:color w:val="auto"/>
                <w:highlight w:val="none"/>
                <w:lang w:val="zh-CN"/>
              </w:rPr>
              <w:t>，固体废物均得到</w:t>
            </w:r>
            <w:r>
              <w:rPr>
                <w:rFonts w:hint="eastAsia"/>
                <w:b w:val="0"/>
                <w:bCs w:val="0"/>
                <w:color w:val="auto"/>
                <w:highlight w:val="none"/>
                <w:lang w:val="en-US" w:eastAsia="zh-CN"/>
              </w:rPr>
              <w:t>有效处理。</w:t>
            </w:r>
            <w:r>
              <w:rPr>
                <w:rFonts w:hint="eastAsia"/>
                <w:b w:val="0"/>
                <w:bCs w:val="0"/>
                <w:color w:val="auto"/>
                <w:highlight w:val="none"/>
              </w:rPr>
              <w:t>因此，本项目符合环境质量底线要求</w:t>
            </w:r>
            <w:r>
              <w:rPr>
                <w:rFonts w:hint="eastAsia"/>
                <w:color w:val="auto"/>
                <w:highlight w:val="none"/>
              </w:rPr>
              <w:t>。</w:t>
            </w:r>
          </w:p>
          <w:p w14:paraId="1742000B">
            <w:pPr>
              <w:ind w:firstLine="482"/>
              <w:rPr>
                <w:b/>
                <w:bCs/>
                <w:color w:val="auto"/>
                <w:highlight w:val="none"/>
              </w:rPr>
            </w:pPr>
            <w:r>
              <w:rPr>
                <w:b/>
                <w:bCs/>
                <w:color w:val="auto"/>
                <w:highlight w:val="none"/>
              </w:rPr>
              <w:t>（3）资源利用上线</w:t>
            </w:r>
          </w:p>
          <w:p w14:paraId="30F22C03">
            <w:pPr>
              <w:ind w:firstLine="480"/>
              <w:rPr>
                <w:color w:val="auto"/>
                <w:highlight w:val="none"/>
              </w:rPr>
            </w:pPr>
            <w:bookmarkStart w:id="48" w:name="sys230045"/>
            <w:r>
              <w:rPr>
                <w:rFonts w:hint="eastAsia"/>
                <w:color w:val="auto"/>
                <w:highlight w:val="none"/>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rPr>
              <w:t>，不新增用地，不突破区域用地规模要求。</w:t>
            </w:r>
            <w:bookmarkEnd w:id="48"/>
            <w:r>
              <w:rPr>
                <w:rFonts w:hint="eastAsia"/>
                <w:color w:val="auto"/>
                <w:highlight w:val="none"/>
              </w:rPr>
              <w:t>项目用水取自市政自来水，用电来源为市政供电，项目运营期间用水、用电量较小，故不会突破区域资源利用上线要求。</w:t>
            </w:r>
          </w:p>
          <w:p w14:paraId="6DADFD92">
            <w:pPr>
              <w:numPr>
                <w:ilvl w:val="0"/>
                <w:numId w:val="14"/>
              </w:numPr>
              <w:ind w:firstLine="482"/>
              <w:rPr>
                <w:b/>
                <w:bCs/>
                <w:color w:val="auto"/>
                <w:highlight w:val="none"/>
              </w:rPr>
            </w:pPr>
            <w:r>
              <w:rPr>
                <w:b/>
                <w:bCs/>
                <w:color w:val="auto"/>
                <w:highlight w:val="none"/>
              </w:rPr>
              <w:t>环境准入负面清单</w:t>
            </w:r>
          </w:p>
          <w:p w14:paraId="74426A3C">
            <w:pPr>
              <w:ind w:firstLine="480"/>
              <w:rPr>
                <w:rFonts w:hint="eastAsia"/>
                <w:color w:val="auto"/>
                <w:highlight w:val="none"/>
              </w:rPr>
            </w:pPr>
            <w:r>
              <w:rPr>
                <w:rFonts w:hint="eastAsia"/>
                <w:color w:val="auto"/>
                <w:highlight w:val="none"/>
              </w:rPr>
              <w:t>本项目与环境准入负面清单相符性见下表。</w:t>
            </w:r>
          </w:p>
          <w:p w14:paraId="09DBA77F">
            <w:pPr>
              <w:pStyle w:val="49"/>
              <w:ind w:firstLine="482"/>
              <w:rPr>
                <w:color w:val="auto"/>
                <w:highlight w:val="none"/>
              </w:rPr>
            </w:pPr>
            <w:r>
              <w:rPr>
                <w:color w:val="auto"/>
                <w:highlight w:val="none"/>
              </w:rPr>
              <w:t>建设项目</w:t>
            </w:r>
            <w:r>
              <w:rPr>
                <w:rFonts w:hint="eastAsia"/>
                <w:color w:val="auto"/>
                <w:highlight w:val="none"/>
              </w:rPr>
              <w:t>与环境准入负面清单相符性</w:t>
            </w:r>
            <w:r>
              <w:rPr>
                <w:color w:val="auto"/>
                <w:highlight w:val="none"/>
              </w:rPr>
              <w:t>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4619"/>
              <w:gridCol w:w="1900"/>
              <w:gridCol w:w="920"/>
            </w:tblGrid>
            <w:tr w14:paraId="267F9C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26" w:type="pct"/>
                  <w:vAlign w:val="center"/>
                </w:tcPr>
                <w:p w14:paraId="67EDCA50">
                  <w:pPr>
                    <w:pStyle w:val="48"/>
                    <w:tabs>
                      <w:tab w:val="left" w:pos="0"/>
                    </w:tabs>
                    <w:rPr>
                      <w:b/>
                      <w:bCs/>
                      <w:color w:val="auto"/>
                      <w:highlight w:val="none"/>
                    </w:rPr>
                  </w:pPr>
                  <w:r>
                    <w:rPr>
                      <w:rFonts w:hint="eastAsia"/>
                      <w:b/>
                      <w:bCs/>
                      <w:color w:val="auto"/>
                      <w:highlight w:val="none"/>
                    </w:rPr>
                    <w:t>序号</w:t>
                  </w:r>
                </w:p>
              </w:tc>
              <w:tc>
                <w:tcPr>
                  <w:tcW w:w="2777" w:type="pct"/>
                  <w:vAlign w:val="center"/>
                </w:tcPr>
                <w:p w14:paraId="6459C276">
                  <w:pPr>
                    <w:pStyle w:val="48"/>
                    <w:tabs>
                      <w:tab w:val="left" w:pos="0"/>
                    </w:tabs>
                    <w:rPr>
                      <w:b/>
                      <w:bCs/>
                      <w:color w:val="auto"/>
                      <w:highlight w:val="none"/>
                    </w:rPr>
                  </w:pPr>
                  <w:r>
                    <w:rPr>
                      <w:b/>
                      <w:bCs/>
                      <w:color w:val="auto"/>
                      <w:highlight w:val="none"/>
                    </w:rPr>
                    <w:t>名称</w:t>
                  </w:r>
                </w:p>
              </w:tc>
              <w:tc>
                <w:tcPr>
                  <w:tcW w:w="1142" w:type="pct"/>
                  <w:vAlign w:val="center"/>
                </w:tcPr>
                <w:p w14:paraId="697FC13C">
                  <w:pPr>
                    <w:pStyle w:val="48"/>
                    <w:tabs>
                      <w:tab w:val="left" w:pos="0"/>
                    </w:tabs>
                    <w:rPr>
                      <w:b/>
                      <w:bCs/>
                      <w:color w:val="auto"/>
                      <w:highlight w:val="none"/>
                    </w:rPr>
                  </w:pPr>
                  <w:r>
                    <w:rPr>
                      <w:b/>
                      <w:bCs/>
                      <w:color w:val="auto"/>
                      <w:highlight w:val="none"/>
                    </w:rPr>
                    <w:t>内容</w:t>
                  </w:r>
                </w:p>
              </w:tc>
              <w:tc>
                <w:tcPr>
                  <w:tcW w:w="553" w:type="pct"/>
                  <w:vAlign w:val="center"/>
                </w:tcPr>
                <w:p w14:paraId="241DFBC1">
                  <w:pPr>
                    <w:pStyle w:val="48"/>
                    <w:tabs>
                      <w:tab w:val="left" w:pos="0"/>
                    </w:tabs>
                    <w:rPr>
                      <w:b/>
                      <w:bCs/>
                      <w:color w:val="auto"/>
                      <w:highlight w:val="none"/>
                    </w:rPr>
                  </w:pPr>
                  <w:r>
                    <w:rPr>
                      <w:b/>
                      <w:bCs/>
                      <w:color w:val="auto"/>
                      <w:highlight w:val="none"/>
                    </w:rPr>
                    <w:t>相符性</w:t>
                  </w:r>
                </w:p>
              </w:tc>
            </w:tr>
            <w:tr w14:paraId="3BE3FF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6" w:type="pct"/>
                  <w:vAlign w:val="center"/>
                </w:tcPr>
                <w:p w14:paraId="303490CB">
                  <w:pPr>
                    <w:pStyle w:val="48"/>
                    <w:tabs>
                      <w:tab w:val="left" w:pos="0"/>
                    </w:tabs>
                    <w:rPr>
                      <w:color w:val="auto"/>
                      <w:highlight w:val="none"/>
                    </w:rPr>
                  </w:pPr>
                  <w:r>
                    <w:rPr>
                      <w:rFonts w:hint="eastAsia"/>
                      <w:color w:val="auto"/>
                      <w:highlight w:val="none"/>
                    </w:rPr>
                    <w:t>1</w:t>
                  </w:r>
                </w:p>
              </w:tc>
              <w:tc>
                <w:tcPr>
                  <w:tcW w:w="2777" w:type="pct"/>
                  <w:vAlign w:val="center"/>
                </w:tcPr>
                <w:p w14:paraId="55B6F510">
                  <w:pPr>
                    <w:pStyle w:val="48"/>
                    <w:tabs>
                      <w:tab w:val="left" w:pos="0"/>
                    </w:tabs>
                    <w:rPr>
                      <w:color w:val="auto"/>
                      <w:highlight w:val="none"/>
                    </w:rPr>
                  </w:pPr>
                  <w:r>
                    <w:rPr>
                      <w:rFonts w:hint="eastAsia"/>
                      <w:color w:val="auto"/>
                      <w:highlight w:val="none"/>
                    </w:rPr>
                    <w:t>《市场准入负面清单（2025年版）》</w:t>
                  </w:r>
                </w:p>
              </w:tc>
              <w:tc>
                <w:tcPr>
                  <w:tcW w:w="1142" w:type="pct"/>
                  <w:vAlign w:val="center"/>
                </w:tcPr>
                <w:p w14:paraId="0BEF1E81">
                  <w:pPr>
                    <w:pStyle w:val="48"/>
                    <w:tabs>
                      <w:tab w:val="left" w:pos="0"/>
                    </w:tabs>
                    <w:rPr>
                      <w:color w:val="auto"/>
                      <w:highlight w:val="none"/>
                    </w:rPr>
                  </w:pPr>
                  <w:r>
                    <w:rPr>
                      <w:rFonts w:hint="eastAsia"/>
                      <w:color w:val="auto"/>
                      <w:highlight w:val="none"/>
                    </w:rPr>
                    <w:t>本项目不在该负面清单中</w:t>
                  </w:r>
                </w:p>
              </w:tc>
              <w:tc>
                <w:tcPr>
                  <w:tcW w:w="553" w:type="pct"/>
                  <w:vAlign w:val="center"/>
                </w:tcPr>
                <w:p w14:paraId="54EB712C">
                  <w:pPr>
                    <w:pStyle w:val="48"/>
                    <w:tabs>
                      <w:tab w:val="left" w:pos="0"/>
                    </w:tabs>
                    <w:rPr>
                      <w:color w:val="auto"/>
                      <w:highlight w:val="none"/>
                    </w:rPr>
                  </w:pPr>
                  <w:r>
                    <w:rPr>
                      <w:rFonts w:hint="eastAsia"/>
                      <w:color w:val="auto"/>
                      <w:highlight w:val="none"/>
                    </w:rPr>
                    <w:t>相符</w:t>
                  </w:r>
                </w:p>
              </w:tc>
            </w:tr>
            <w:tr w14:paraId="6DB36E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6" w:type="pct"/>
                  <w:vAlign w:val="center"/>
                </w:tcPr>
                <w:p w14:paraId="0E9D5AAA">
                  <w:pPr>
                    <w:pStyle w:val="48"/>
                    <w:tabs>
                      <w:tab w:val="left" w:pos="0"/>
                    </w:tabs>
                    <w:rPr>
                      <w:color w:val="auto"/>
                      <w:highlight w:val="none"/>
                    </w:rPr>
                  </w:pPr>
                  <w:r>
                    <w:rPr>
                      <w:rFonts w:hint="eastAsia"/>
                      <w:color w:val="auto"/>
                      <w:highlight w:val="none"/>
                    </w:rPr>
                    <w:t>2</w:t>
                  </w:r>
                </w:p>
              </w:tc>
              <w:tc>
                <w:tcPr>
                  <w:tcW w:w="2777" w:type="pct"/>
                  <w:vAlign w:val="center"/>
                </w:tcPr>
                <w:p w14:paraId="4C488829">
                  <w:pPr>
                    <w:pStyle w:val="48"/>
                    <w:tabs>
                      <w:tab w:val="left" w:pos="0"/>
                    </w:tabs>
                    <w:rPr>
                      <w:color w:val="auto"/>
                      <w:highlight w:val="none"/>
                    </w:rPr>
                  </w:pPr>
                  <w:r>
                    <w:rPr>
                      <w:rFonts w:hint="eastAsia"/>
                      <w:color w:val="auto"/>
                      <w:highlight w:val="none"/>
                    </w:rPr>
                    <w:t>关于印发《〈长江经济带发展负面清单指南（试行，2022年版）〉江苏省实施细则》的通知（苏长江办发〔2022〕55号）</w:t>
                  </w:r>
                </w:p>
              </w:tc>
              <w:tc>
                <w:tcPr>
                  <w:tcW w:w="1142" w:type="pct"/>
                  <w:vAlign w:val="center"/>
                </w:tcPr>
                <w:p w14:paraId="2445D150">
                  <w:pPr>
                    <w:pStyle w:val="48"/>
                    <w:tabs>
                      <w:tab w:val="left" w:pos="0"/>
                    </w:tabs>
                    <w:rPr>
                      <w:color w:val="auto"/>
                      <w:highlight w:val="none"/>
                    </w:rPr>
                  </w:pPr>
                  <w:r>
                    <w:rPr>
                      <w:rFonts w:hint="eastAsia"/>
                      <w:color w:val="auto"/>
                      <w:highlight w:val="none"/>
                    </w:rPr>
                    <w:t>本项目不在该负面清单中</w:t>
                  </w:r>
                </w:p>
              </w:tc>
              <w:tc>
                <w:tcPr>
                  <w:tcW w:w="553" w:type="pct"/>
                  <w:vAlign w:val="center"/>
                </w:tcPr>
                <w:p w14:paraId="182BCEE8">
                  <w:pPr>
                    <w:pStyle w:val="48"/>
                    <w:tabs>
                      <w:tab w:val="left" w:pos="0"/>
                    </w:tabs>
                    <w:rPr>
                      <w:color w:val="auto"/>
                      <w:highlight w:val="none"/>
                    </w:rPr>
                  </w:pPr>
                  <w:r>
                    <w:rPr>
                      <w:rFonts w:hint="eastAsia"/>
                      <w:color w:val="auto"/>
                      <w:highlight w:val="none"/>
                    </w:rPr>
                    <w:t>相符</w:t>
                  </w:r>
                </w:p>
              </w:tc>
            </w:tr>
          </w:tbl>
          <w:p w14:paraId="63C3256D">
            <w:pPr>
              <w:bidi w:val="0"/>
              <w:rPr>
                <w:color w:val="auto"/>
                <w:highlight w:val="none"/>
              </w:rPr>
            </w:pPr>
            <w:r>
              <w:rPr>
                <w:rFonts w:hint="eastAsia"/>
                <w:color w:val="auto"/>
                <w:highlight w:val="none"/>
              </w:rPr>
              <w:t>综上分析，本项目不在上述</w:t>
            </w:r>
            <w:sdt>
              <w:sdtPr>
                <w:rPr>
                  <w:color w:val="auto"/>
                </w:rPr>
                <w:alias w:val="语法错误"/>
                <w:tag w:val="reviewtag_auto"/>
                <w:id w:val="1000332"/>
              </w:sdtPr>
              <w:sdtEndPr>
                <w:rPr>
                  <w:color w:val="auto"/>
                </w:rPr>
              </w:sdtEndPr>
              <w:sdtContent>
                <w:bookmarkStart w:id="49" w:name="bkReivew1000332"/>
                <w:r>
                  <w:rPr>
                    <w:rFonts w:hint="eastAsia"/>
                    <w:color w:val="auto"/>
                    <w:highlight w:val="none"/>
                  </w:rPr>
                  <w:t>所列</w:t>
                </w:r>
                <w:bookmarkEnd w:id="49"/>
              </w:sdtContent>
            </w:sdt>
            <w:r>
              <w:rPr>
                <w:rFonts w:hint="eastAsia"/>
                <w:color w:val="auto"/>
                <w:highlight w:val="none"/>
              </w:rPr>
              <w:t>环境准入负面清单中。</w:t>
            </w:r>
            <w:bookmarkEnd w:id="43"/>
          </w:p>
          <w:p w14:paraId="65281B32">
            <w:pPr>
              <w:bidi w:val="0"/>
              <w:rPr>
                <w:b/>
                <w:bCs/>
                <w:color w:val="auto"/>
                <w:highlight w:val="none"/>
              </w:rPr>
            </w:pPr>
            <w:r>
              <w:rPr>
                <w:rFonts w:hint="eastAsia"/>
                <w:b/>
                <w:bCs/>
                <w:color w:val="auto"/>
                <w:highlight w:val="none"/>
                <w:lang w:val="en-US" w:eastAsia="zh-CN"/>
              </w:rPr>
              <w:t>4.</w:t>
            </w:r>
            <w:r>
              <w:rPr>
                <w:b/>
                <w:bCs/>
                <w:color w:val="auto"/>
                <w:highlight w:val="none"/>
              </w:rPr>
              <w:t>与《</w:t>
            </w:r>
            <w:r>
              <w:rPr>
                <w:rFonts w:hint="eastAsia"/>
                <w:b/>
                <w:bCs/>
                <w:color w:val="auto"/>
                <w:highlight w:val="none"/>
              </w:rPr>
              <w:t>江苏省2023年度生态环境分区管控动态更新成果</w:t>
            </w:r>
            <w:r>
              <w:rPr>
                <w:b/>
                <w:bCs/>
                <w:color w:val="auto"/>
                <w:highlight w:val="none"/>
              </w:rPr>
              <w:t>》相符性分析</w:t>
            </w:r>
          </w:p>
          <w:p w14:paraId="0649700A">
            <w:pPr>
              <w:bidi w:val="0"/>
              <w:rPr>
                <w:color w:val="auto"/>
                <w:highlight w:val="none"/>
              </w:rPr>
            </w:pPr>
            <w:r>
              <w:rPr>
                <w:color w:val="auto"/>
                <w:highlight w:val="none"/>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rPr>
              <w:t>，属于</w:t>
            </w:r>
            <w:r>
              <w:rPr>
                <w:rFonts w:hint="eastAsia"/>
                <w:color w:val="auto"/>
                <w:highlight w:val="none"/>
                <w:lang w:val="en-US" w:eastAsia="zh-CN"/>
              </w:rPr>
              <w:t>江苏省重点流域长江流域</w:t>
            </w:r>
            <w:r>
              <w:rPr>
                <w:color w:val="auto"/>
                <w:highlight w:val="none"/>
              </w:rPr>
              <w:t>，其管控要求与本项目相符性分析见</w:t>
            </w:r>
            <w:r>
              <w:rPr>
                <w:rFonts w:hint="eastAsia"/>
                <w:color w:val="auto"/>
                <w:highlight w:val="none"/>
              </w:rPr>
              <w:t>下表</w:t>
            </w:r>
            <w:r>
              <w:rPr>
                <w:color w:val="auto"/>
                <w:highlight w:val="none"/>
              </w:rPr>
              <w:t>。</w:t>
            </w:r>
          </w:p>
          <w:p w14:paraId="27F5A069">
            <w:pPr>
              <w:pStyle w:val="49"/>
              <w:keepNext/>
              <w:keepLines/>
              <w:pageBreakBefore w:val="0"/>
              <w:widowControl w:val="0"/>
              <w:kinsoku/>
              <w:wordWrap/>
              <w:overflowPunct/>
              <w:topLinePunct w:val="0"/>
              <w:autoSpaceDE/>
              <w:autoSpaceDN/>
              <w:bidi w:val="0"/>
              <w:adjustRightInd w:val="0"/>
              <w:snapToGrid/>
              <w:jc w:val="center"/>
              <w:textAlignment w:val="baseline"/>
              <w:rPr>
                <w:b/>
                <w:bCs/>
                <w:color w:val="auto"/>
                <w:sz w:val="24"/>
                <w:szCs w:val="32"/>
                <w:highlight w:val="none"/>
              </w:rPr>
            </w:pPr>
            <w:r>
              <w:rPr>
                <w:rFonts w:hint="eastAsia"/>
                <w:color w:val="auto"/>
                <w:highlight w:val="none"/>
                <w:lang w:val="en-US" w:eastAsia="zh-CN"/>
              </w:rPr>
              <w:t>与</w:t>
            </w:r>
            <w:r>
              <w:rPr>
                <w:b/>
                <w:bCs/>
                <w:color w:val="auto"/>
                <w:highlight w:val="none"/>
              </w:rPr>
              <w:t>《</w:t>
            </w:r>
            <w:r>
              <w:rPr>
                <w:rFonts w:hint="eastAsia"/>
                <w:b/>
                <w:bCs/>
                <w:color w:val="auto"/>
                <w:highlight w:val="none"/>
              </w:rPr>
              <w:t>江苏省2023年度生态环境分区管控动态更新成果</w:t>
            </w:r>
            <w:r>
              <w:rPr>
                <w:b/>
                <w:bCs/>
                <w:color w:val="auto"/>
                <w:highlight w:val="none"/>
              </w:rPr>
              <w:t>》</w:t>
            </w:r>
            <w:r>
              <w:rPr>
                <w:b/>
                <w:bCs/>
                <w:color w:val="auto"/>
                <w:sz w:val="24"/>
                <w:szCs w:val="32"/>
                <w:highlight w:val="none"/>
              </w:rPr>
              <w:t>相符性分析</w:t>
            </w:r>
          </w:p>
          <w:tbl>
            <w:tblPr>
              <w:tblStyle w:val="34"/>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7"/>
              <w:gridCol w:w="4431"/>
              <w:gridCol w:w="2397"/>
              <w:gridCol w:w="749"/>
            </w:tblGrid>
            <w:tr w14:paraId="4AF3D7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tcBorders>
                    <w:tl2br w:val="nil"/>
                    <w:tr2bl w:val="nil"/>
                  </w:tcBorders>
                  <w:noWrap w:val="0"/>
                  <w:vAlign w:val="center"/>
                </w:tcPr>
                <w:p w14:paraId="41378BF9">
                  <w:pPr>
                    <w:pStyle w:val="48"/>
                    <w:tabs>
                      <w:tab w:val="left" w:pos="0"/>
                    </w:tabs>
                    <w:bidi w:val="0"/>
                    <w:rPr>
                      <w:rFonts w:hint="eastAsia"/>
                      <w:b/>
                      <w:bCs/>
                      <w:color w:val="auto"/>
                      <w:highlight w:val="none"/>
                      <w:lang w:val="en-US" w:eastAsia="zh-CN"/>
                    </w:rPr>
                  </w:pPr>
                  <w:r>
                    <w:rPr>
                      <w:rFonts w:hint="eastAsia"/>
                      <w:b/>
                      <w:bCs/>
                      <w:color w:val="auto"/>
                      <w:highlight w:val="none"/>
                      <w:lang w:val="en-US" w:eastAsia="zh-CN"/>
                    </w:rPr>
                    <w:t>管控类别</w:t>
                  </w:r>
                </w:p>
              </w:tc>
              <w:tc>
                <w:tcPr>
                  <w:tcW w:w="2664" w:type="pct"/>
                  <w:tcBorders>
                    <w:tl2br w:val="nil"/>
                    <w:tr2bl w:val="nil"/>
                  </w:tcBorders>
                  <w:noWrap w:val="0"/>
                  <w:vAlign w:val="center"/>
                </w:tcPr>
                <w:p w14:paraId="7568F4F0">
                  <w:pPr>
                    <w:pStyle w:val="48"/>
                    <w:tabs>
                      <w:tab w:val="left" w:pos="0"/>
                    </w:tabs>
                    <w:bidi w:val="0"/>
                    <w:rPr>
                      <w:rFonts w:hint="eastAsia"/>
                      <w:b/>
                      <w:bCs/>
                      <w:color w:val="auto"/>
                      <w:highlight w:val="none"/>
                      <w:lang w:val="en-US" w:eastAsia="zh-CN"/>
                    </w:rPr>
                  </w:pPr>
                  <w:r>
                    <w:rPr>
                      <w:rFonts w:hint="eastAsia"/>
                      <w:b/>
                      <w:bCs/>
                      <w:color w:val="auto"/>
                      <w:highlight w:val="none"/>
                      <w:lang w:val="en-US" w:eastAsia="zh-CN"/>
                    </w:rPr>
                    <w:t>重点管控要求</w:t>
                  </w:r>
                </w:p>
              </w:tc>
              <w:tc>
                <w:tcPr>
                  <w:tcW w:w="1441" w:type="pct"/>
                  <w:tcBorders>
                    <w:tl2br w:val="nil"/>
                    <w:tr2bl w:val="nil"/>
                  </w:tcBorders>
                  <w:noWrap w:val="0"/>
                  <w:vAlign w:val="center"/>
                </w:tcPr>
                <w:p w14:paraId="0EF7C1AC">
                  <w:pPr>
                    <w:pStyle w:val="48"/>
                    <w:tabs>
                      <w:tab w:val="left" w:pos="0"/>
                    </w:tabs>
                    <w:bidi w:val="0"/>
                    <w:rPr>
                      <w:rFonts w:hint="eastAsia"/>
                      <w:b/>
                      <w:bCs/>
                      <w:color w:val="auto"/>
                      <w:highlight w:val="none"/>
                      <w:lang w:val="en-US" w:eastAsia="zh-CN"/>
                    </w:rPr>
                  </w:pPr>
                  <w:r>
                    <w:rPr>
                      <w:rFonts w:hint="eastAsia"/>
                      <w:b/>
                      <w:bCs/>
                      <w:color w:val="auto"/>
                      <w:highlight w:val="none"/>
                      <w:lang w:val="en-US" w:eastAsia="zh-CN"/>
                    </w:rPr>
                    <w:t>本项目情况</w:t>
                  </w:r>
                </w:p>
              </w:tc>
              <w:tc>
                <w:tcPr>
                  <w:tcW w:w="450" w:type="pct"/>
                  <w:tcBorders>
                    <w:tl2br w:val="nil"/>
                    <w:tr2bl w:val="nil"/>
                  </w:tcBorders>
                  <w:noWrap w:val="0"/>
                  <w:vAlign w:val="center"/>
                </w:tcPr>
                <w:p w14:paraId="56253DB4">
                  <w:pPr>
                    <w:pStyle w:val="48"/>
                    <w:tabs>
                      <w:tab w:val="left" w:pos="0"/>
                    </w:tabs>
                    <w:bidi w:val="0"/>
                    <w:rPr>
                      <w:rFonts w:hint="eastAsia"/>
                      <w:b/>
                      <w:bCs/>
                      <w:color w:val="auto"/>
                      <w:highlight w:val="none"/>
                      <w:lang w:val="en-US" w:eastAsia="zh-CN"/>
                    </w:rPr>
                  </w:pPr>
                  <w:r>
                    <w:rPr>
                      <w:rFonts w:hint="eastAsia"/>
                      <w:b/>
                      <w:bCs/>
                      <w:color w:val="auto"/>
                      <w:highlight w:val="none"/>
                      <w:lang w:val="en-US" w:eastAsia="zh-CN"/>
                    </w:rPr>
                    <w:t>相符性</w:t>
                  </w:r>
                </w:p>
              </w:tc>
            </w:tr>
            <w:tr w14:paraId="07395F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restart"/>
                  <w:tcBorders>
                    <w:tl2br w:val="nil"/>
                    <w:tr2bl w:val="nil"/>
                  </w:tcBorders>
                  <w:noWrap w:val="0"/>
                  <w:vAlign w:val="center"/>
                </w:tcPr>
                <w:p w14:paraId="61B94B07">
                  <w:pPr>
                    <w:pStyle w:val="48"/>
                    <w:tabs>
                      <w:tab w:val="left" w:pos="0"/>
                    </w:tabs>
                    <w:bidi w:val="0"/>
                    <w:rPr>
                      <w:rFonts w:hint="eastAsia"/>
                      <w:color w:val="auto"/>
                      <w:highlight w:val="none"/>
                      <w:lang w:val="en-US" w:eastAsia="zh-CN"/>
                    </w:rPr>
                  </w:pPr>
                  <w:r>
                    <w:rPr>
                      <w:rFonts w:hint="eastAsia"/>
                      <w:color w:val="auto"/>
                      <w:highlight w:val="none"/>
                      <w:lang w:val="en-US" w:eastAsia="zh-CN"/>
                    </w:rPr>
                    <w:t>空间布局约束</w:t>
                  </w:r>
                </w:p>
              </w:tc>
              <w:tc>
                <w:tcPr>
                  <w:tcW w:w="2664" w:type="pct"/>
                  <w:tcBorders>
                    <w:tl2br w:val="nil"/>
                    <w:tr2bl w:val="nil"/>
                  </w:tcBorders>
                  <w:noWrap w:val="0"/>
                  <w:vAlign w:val="center"/>
                </w:tcPr>
                <w:p w14:paraId="3D25748B">
                  <w:pPr>
                    <w:pStyle w:val="48"/>
                    <w:tabs>
                      <w:tab w:val="left" w:pos="0"/>
                    </w:tabs>
                    <w:bidi w:val="0"/>
                    <w:rPr>
                      <w:rFonts w:hint="eastAsia"/>
                      <w:color w:val="auto"/>
                      <w:highlight w:val="none"/>
                      <w:lang w:val="en-US" w:eastAsia="zh-CN"/>
                    </w:rPr>
                  </w:pPr>
                  <w:r>
                    <w:rPr>
                      <w:rFonts w:hint="eastAsia"/>
                      <w:color w:val="auto"/>
                      <w:highlight w:val="none"/>
                      <w:lang w:val="en-US" w:eastAsia="zh-CN"/>
                    </w:rPr>
                    <w:t>1.</w:t>
                  </w:r>
                  <w:r>
                    <w:rPr>
                      <w:rFonts w:hint="eastAsia"/>
                      <w:color w:val="auto"/>
                      <w:highlight w:val="none"/>
                    </w:rPr>
                    <w:t>始终把长江生态修复放在首位，坚持共抓大保护、不搞大开发，引导长江流域产业转型升级和布局优化调整，实现科学发展、有序发展、高质量发展。</w:t>
                  </w:r>
                </w:p>
              </w:tc>
              <w:tc>
                <w:tcPr>
                  <w:tcW w:w="1441" w:type="pct"/>
                  <w:tcBorders>
                    <w:tl2br w:val="nil"/>
                    <w:tr2bl w:val="nil"/>
                  </w:tcBorders>
                  <w:noWrap w:val="0"/>
                  <w:vAlign w:val="center"/>
                </w:tcPr>
                <w:p w14:paraId="5DB038C7">
                  <w:pPr>
                    <w:pStyle w:val="48"/>
                    <w:tabs>
                      <w:tab w:val="left" w:pos="0"/>
                    </w:tabs>
                    <w:bidi w:val="0"/>
                    <w:rPr>
                      <w:rFonts w:hint="default"/>
                      <w:color w:val="auto"/>
                      <w:highlight w:val="none"/>
                      <w:lang w:val="en-US" w:eastAsia="zh-CN"/>
                    </w:rPr>
                  </w:pPr>
                  <w:r>
                    <w:rPr>
                      <w:rFonts w:hint="eastAsia"/>
                      <w:color w:val="auto"/>
                      <w:highlight w:val="none"/>
                      <w:lang w:val="en-US" w:eastAsia="zh-CN"/>
                    </w:rPr>
                    <w:t>根据上文分析，本项目符合相关产业政策要求。</w:t>
                  </w:r>
                </w:p>
              </w:tc>
              <w:tc>
                <w:tcPr>
                  <w:tcW w:w="450" w:type="pct"/>
                  <w:tcBorders>
                    <w:tl2br w:val="nil"/>
                    <w:tr2bl w:val="nil"/>
                  </w:tcBorders>
                  <w:noWrap w:val="0"/>
                  <w:vAlign w:val="center"/>
                </w:tcPr>
                <w:p w14:paraId="2A6E6CC3">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236EAD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continue"/>
                  <w:tcBorders>
                    <w:tl2br w:val="nil"/>
                    <w:tr2bl w:val="nil"/>
                  </w:tcBorders>
                  <w:noWrap w:val="0"/>
                  <w:vAlign w:val="center"/>
                </w:tcPr>
                <w:p w14:paraId="4A7E3A61">
                  <w:pPr>
                    <w:pStyle w:val="48"/>
                    <w:tabs>
                      <w:tab w:val="left" w:pos="0"/>
                    </w:tabs>
                    <w:bidi w:val="0"/>
                    <w:rPr>
                      <w:rFonts w:hint="eastAsia"/>
                      <w:color w:val="auto"/>
                      <w:highlight w:val="none"/>
                      <w:lang w:val="en-US" w:eastAsia="zh-CN"/>
                    </w:rPr>
                  </w:pPr>
                </w:p>
              </w:tc>
              <w:tc>
                <w:tcPr>
                  <w:tcW w:w="2664" w:type="pct"/>
                  <w:tcBorders>
                    <w:tl2br w:val="nil"/>
                    <w:tr2bl w:val="nil"/>
                  </w:tcBorders>
                  <w:noWrap w:val="0"/>
                  <w:vAlign w:val="center"/>
                </w:tcPr>
                <w:p w14:paraId="35296F8B">
                  <w:pPr>
                    <w:pStyle w:val="48"/>
                    <w:tabs>
                      <w:tab w:val="left" w:pos="0"/>
                    </w:tabs>
                    <w:bidi w:val="0"/>
                    <w:rPr>
                      <w:rFonts w:hint="eastAsia"/>
                      <w:color w:val="auto"/>
                      <w:highlight w:val="none"/>
                      <w:lang w:val="en-US" w:eastAsia="zh-CN"/>
                    </w:rPr>
                  </w:pPr>
                  <w:r>
                    <w:rPr>
                      <w:rFonts w:hint="eastAsia"/>
                      <w:color w:val="auto"/>
                      <w:highlight w:val="none"/>
                      <w:lang w:val="en-US" w:eastAsia="zh-CN"/>
                    </w:rPr>
                    <w:t>2.</w:t>
                  </w:r>
                  <w:r>
                    <w:rPr>
                      <w:rFonts w:hint="eastAsia"/>
                      <w:color w:val="auto"/>
                      <w:highlight w:val="none"/>
                    </w:rPr>
                    <w:t>加强生态空间保护，禁止在国家确定的生态保护红线和永久基本农田范围内，投资建设除国家重大战略资源勘查项目、生态保护修复和地质灾害治理项目、重大基础设施项目、军事国防项目以及农民基本生产生活等必要的民生项目以外的项目。</w:t>
                  </w:r>
                </w:p>
              </w:tc>
              <w:tc>
                <w:tcPr>
                  <w:tcW w:w="1441" w:type="pct"/>
                  <w:tcBorders>
                    <w:tl2br w:val="nil"/>
                    <w:tr2bl w:val="nil"/>
                  </w:tcBorders>
                  <w:noWrap w:val="0"/>
                  <w:vAlign w:val="center"/>
                </w:tcPr>
                <w:p w14:paraId="50FDC2BC">
                  <w:pPr>
                    <w:pStyle w:val="48"/>
                    <w:tabs>
                      <w:tab w:val="left" w:pos="0"/>
                    </w:tabs>
                    <w:bidi w:val="0"/>
                    <w:rPr>
                      <w:rFonts w:hint="default"/>
                      <w:color w:val="auto"/>
                      <w:highlight w:val="none"/>
                      <w:lang w:val="en-US" w:eastAsia="zh-CN"/>
                    </w:rPr>
                  </w:pPr>
                  <w:r>
                    <w:rPr>
                      <w:rFonts w:hint="eastAsia"/>
                      <w:color w:val="auto"/>
                      <w:highlight w:val="none"/>
                    </w:rPr>
                    <w:t>本项目不占用国家</w:t>
                  </w:r>
                  <w:bookmarkStart w:id="50" w:name="bkReivew142216"/>
                  <w:bookmarkEnd w:id="50"/>
                  <w:r>
                    <w:rPr>
                      <w:rFonts w:hint="eastAsia"/>
                      <w:color w:val="auto"/>
                      <w:highlight w:val="none"/>
                    </w:rPr>
                    <w:t>生态保护红线和生态空间管控区域。</w:t>
                  </w:r>
                </w:p>
              </w:tc>
              <w:tc>
                <w:tcPr>
                  <w:tcW w:w="450" w:type="pct"/>
                  <w:tcBorders>
                    <w:tl2br w:val="nil"/>
                    <w:tr2bl w:val="nil"/>
                  </w:tcBorders>
                  <w:noWrap w:val="0"/>
                  <w:vAlign w:val="center"/>
                </w:tcPr>
                <w:p w14:paraId="045F3B03">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7110E5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continue"/>
                  <w:tcBorders>
                    <w:tl2br w:val="nil"/>
                    <w:tr2bl w:val="nil"/>
                  </w:tcBorders>
                  <w:noWrap w:val="0"/>
                  <w:vAlign w:val="center"/>
                </w:tcPr>
                <w:p w14:paraId="14843944">
                  <w:pPr>
                    <w:pStyle w:val="48"/>
                    <w:tabs>
                      <w:tab w:val="left" w:pos="0"/>
                    </w:tabs>
                    <w:bidi w:val="0"/>
                    <w:rPr>
                      <w:rFonts w:hint="eastAsia"/>
                      <w:color w:val="auto"/>
                      <w:highlight w:val="none"/>
                      <w:lang w:val="en-US" w:eastAsia="zh-CN"/>
                    </w:rPr>
                  </w:pPr>
                </w:p>
              </w:tc>
              <w:tc>
                <w:tcPr>
                  <w:tcW w:w="2664" w:type="pct"/>
                  <w:tcBorders>
                    <w:tl2br w:val="nil"/>
                    <w:tr2bl w:val="nil"/>
                  </w:tcBorders>
                  <w:noWrap w:val="0"/>
                  <w:vAlign w:val="center"/>
                </w:tcPr>
                <w:p w14:paraId="45394B8F">
                  <w:pPr>
                    <w:pStyle w:val="48"/>
                    <w:tabs>
                      <w:tab w:val="left" w:pos="0"/>
                    </w:tabs>
                    <w:bidi w:val="0"/>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禁止在沿江地区新建或扩建化学工业园区，禁止新建或扩建以大宗进口油气资源为原料的石油加工、石油化工、基础有机无机化工、煤化工项目；禁止在长江干流和主要支流岸线1公里范围内新建危化品码头。</w:t>
                  </w:r>
                </w:p>
              </w:tc>
              <w:tc>
                <w:tcPr>
                  <w:tcW w:w="1441" w:type="pct"/>
                  <w:tcBorders>
                    <w:tl2br w:val="nil"/>
                    <w:tr2bl w:val="nil"/>
                  </w:tcBorders>
                  <w:noWrap w:val="0"/>
                  <w:vAlign w:val="center"/>
                </w:tcPr>
                <w:p w14:paraId="569CFD9D">
                  <w:pPr>
                    <w:pStyle w:val="48"/>
                    <w:tabs>
                      <w:tab w:val="left" w:pos="0"/>
                    </w:tabs>
                    <w:bidi w:val="0"/>
                    <w:rPr>
                      <w:rFonts w:hint="default"/>
                      <w:color w:val="auto"/>
                      <w:highlight w:val="none"/>
                      <w:lang w:val="en-US" w:eastAsia="zh-CN"/>
                    </w:rPr>
                  </w:pPr>
                  <w:bookmarkStart w:id="51" w:name="sys264031"/>
                  <w:r>
                    <w:rPr>
                      <w:rFonts w:hint="eastAsia"/>
                      <w:color w:val="auto"/>
                      <w:highlight w:val="none"/>
                    </w:rPr>
                    <w:t>本项目</w:t>
                  </w:r>
                  <w:r>
                    <w:rPr>
                      <w:rFonts w:hint="eastAsia"/>
                      <w:color w:val="auto"/>
                      <w:highlight w:val="none"/>
                      <w:lang w:val="en-US" w:eastAsia="zh-CN"/>
                    </w:rPr>
                    <w:t>为移动电源设备生产项目，不属于文件</w:t>
                  </w:r>
                  <w:bookmarkStart w:id="52" w:name="bkReivew3172056"/>
                  <w:bookmarkEnd w:id="52"/>
                  <w:r>
                    <w:rPr>
                      <w:rFonts w:hint="eastAsia"/>
                      <w:color w:val="auto"/>
                      <w:highlight w:val="none"/>
                      <w:lang w:val="en-US" w:eastAsia="zh-CN"/>
                    </w:rPr>
                    <w:t>要求的禁止建设项目。</w:t>
                  </w:r>
                  <w:bookmarkEnd w:id="51"/>
                </w:p>
              </w:tc>
              <w:tc>
                <w:tcPr>
                  <w:tcW w:w="450" w:type="pct"/>
                  <w:tcBorders>
                    <w:tl2br w:val="nil"/>
                    <w:tr2bl w:val="nil"/>
                  </w:tcBorders>
                  <w:noWrap w:val="0"/>
                  <w:vAlign w:val="center"/>
                </w:tcPr>
                <w:p w14:paraId="261402AB">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4B22B7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continue"/>
                  <w:tcBorders>
                    <w:tl2br w:val="nil"/>
                    <w:tr2bl w:val="nil"/>
                  </w:tcBorders>
                  <w:noWrap w:val="0"/>
                  <w:vAlign w:val="center"/>
                </w:tcPr>
                <w:p w14:paraId="35AD79E7">
                  <w:pPr>
                    <w:pStyle w:val="48"/>
                    <w:tabs>
                      <w:tab w:val="left" w:pos="0"/>
                    </w:tabs>
                    <w:bidi w:val="0"/>
                    <w:rPr>
                      <w:rFonts w:hint="eastAsia"/>
                      <w:color w:val="auto"/>
                      <w:highlight w:val="none"/>
                      <w:lang w:val="en-US" w:eastAsia="zh-CN"/>
                    </w:rPr>
                  </w:pPr>
                </w:p>
              </w:tc>
              <w:tc>
                <w:tcPr>
                  <w:tcW w:w="2664" w:type="pct"/>
                  <w:tcBorders>
                    <w:tl2br w:val="nil"/>
                    <w:tr2bl w:val="nil"/>
                  </w:tcBorders>
                  <w:noWrap w:val="0"/>
                  <w:vAlign w:val="center"/>
                </w:tcPr>
                <w:p w14:paraId="26AAAA55">
                  <w:pPr>
                    <w:pStyle w:val="48"/>
                    <w:tabs>
                      <w:tab w:val="left" w:pos="0"/>
                    </w:tabs>
                    <w:bidi w:val="0"/>
                    <w:rPr>
                      <w:rFonts w:hint="eastAsia"/>
                      <w:color w:val="auto"/>
                      <w:highlight w:val="none"/>
                      <w:lang w:val="en-US" w:eastAsia="zh-CN"/>
                    </w:rPr>
                  </w:pPr>
                  <w:r>
                    <w:rPr>
                      <w:rFonts w:hint="eastAsia"/>
                      <w:color w:val="auto"/>
                      <w:highlight w:val="none"/>
                      <w:lang w:val="en-US" w:eastAsia="zh-CN"/>
                    </w:rPr>
                    <w:t>4.</w:t>
                  </w:r>
                  <w:r>
                    <w:rPr>
                      <w:rFonts w:hint="eastAsia"/>
                      <w:color w:val="auto"/>
                      <w:highlight w:val="none"/>
                    </w:rPr>
                    <w:t>强化港口布局优化，禁止建设不符合国家港口布局规划和《江苏省沿江沿海港口布局规划（2015</w:t>
                  </w:r>
                  <w:r>
                    <w:rPr>
                      <w:rFonts w:hint="eastAsia"/>
                      <w:color w:val="auto"/>
                      <w:highlight w:val="none"/>
                      <w:lang w:eastAsia="zh-CN"/>
                    </w:rPr>
                    <w:t>—</w:t>
                  </w:r>
                  <w:r>
                    <w:rPr>
                      <w:rFonts w:hint="eastAsia"/>
                      <w:color w:val="auto"/>
                      <w:highlight w:val="none"/>
                    </w:rPr>
                    <w:t>2030年）》《江苏省内河港口布局规划（2017</w:t>
                  </w:r>
                  <w:r>
                    <w:rPr>
                      <w:rFonts w:hint="eastAsia"/>
                      <w:color w:val="auto"/>
                      <w:highlight w:val="none"/>
                      <w:lang w:eastAsia="zh-CN"/>
                    </w:rPr>
                    <w:t>—</w:t>
                  </w:r>
                  <w:r>
                    <w:rPr>
                      <w:rFonts w:hint="eastAsia"/>
                      <w:color w:val="auto"/>
                      <w:highlight w:val="none"/>
                    </w:rPr>
                    <w:t>2035年）》的码头项目，禁止建设未纳入《长江干线过江通道布局规划》的过江干线通道项目。</w:t>
                  </w:r>
                </w:p>
              </w:tc>
              <w:tc>
                <w:tcPr>
                  <w:tcW w:w="1441" w:type="pct"/>
                  <w:tcBorders>
                    <w:tl2br w:val="nil"/>
                    <w:tr2bl w:val="nil"/>
                  </w:tcBorders>
                  <w:noWrap w:val="0"/>
                  <w:vAlign w:val="center"/>
                </w:tcPr>
                <w:p w14:paraId="7E0D0F97">
                  <w:pPr>
                    <w:pStyle w:val="48"/>
                    <w:tabs>
                      <w:tab w:val="left" w:pos="0"/>
                    </w:tabs>
                    <w:bidi w:val="0"/>
                    <w:rPr>
                      <w:rFonts w:hint="eastAsia"/>
                      <w:color w:val="auto"/>
                      <w:highlight w:val="none"/>
                      <w:lang w:val="en-US" w:eastAsia="zh-CN"/>
                    </w:rPr>
                  </w:pPr>
                  <w:bookmarkStart w:id="53" w:name="sys268041"/>
                  <w:r>
                    <w:rPr>
                      <w:rFonts w:hint="eastAsia"/>
                      <w:color w:val="auto"/>
                      <w:highlight w:val="none"/>
                    </w:rPr>
                    <w:t>本项目</w:t>
                  </w:r>
                  <w:r>
                    <w:rPr>
                      <w:rFonts w:hint="eastAsia"/>
                      <w:color w:val="auto"/>
                      <w:highlight w:val="none"/>
                      <w:lang w:val="en-US" w:eastAsia="zh-CN"/>
                    </w:rPr>
                    <w:t>为移动电源设备生产项目，不属于文件</w:t>
                  </w:r>
                  <w:bookmarkStart w:id="54" w:name="bkReivew2013556"/>
                  <w:bookmarkEnd w:id="54"/>
                  <w:r>
                    <w:rPr>
                      <w:rFonts w:hint="eastAsia"/>
                      <w:color w:val="auto"/>
                      <w:highlight w:val="none"/>
                      <w:lang w:val="en-US" w:eastAsia="zh-CN"/>
                    </w:rPr>
                    <w:t>要求的禁止建设的码头项目及过江干线项目。</w:t>
                  </w:r>
                  <w:bookmarkEnd w:id="53"/>
                </w:p>
              </w:tc>
              <w:tc>
                <w:tcPr>
                  <w:tcW w:w="450" w:type="pct"/>
                  <w:tcBorders>
                    <w:tl2br w:val="nil"/>
                    <w:tr2bl w:val="nil"/>
                  </w:tcBorders>
                  <w:noWrap w:val="0"/>
                  <w:vAlign w:val="center"/>
                </w:tcPr>
                <w:p w14:paraId="466EFF80">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435DF1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continue"/>
                  <w:tcBorders>
                    <w:tl2br w:val="nil"/>
                    <w:tr2bl w:val="nil"/>
                  </w:tcBorders>
                  <w:noWrap w:val="0"/>
                  <w:vAlign w:val="center"/>
                </w:tcPr>
                <w:p w14:paraId="0931FC9E">
                  <w:pPr>
                    <w:pStyle w:val="48"/>
                    <w:tabs>
                      <w:tab w:val="left" w:pos="0"/>
                    </w:tabs>
                    <w:bidi w:val="0"/>
                    <w:rPr>
                      <w:rFonts w:hint="eastAsia"/>
                      <w:color w:val="auto"/>
                      <w:highlight w:val="none"/>
                      <w:lang w:val="en-US" w:eastAsia="zh-CN"/>
                    </w:rPr>
                  </w:pPr>
                </w:p>
              </w:tc>
              <w:tc>
                <w:tcPr>
                  <w:tcW w:w="2664" w:type="pct"/>
                  <w:tcBorders>
                    <w:tl2br w:val="nil"/>
                    <w:tr2bl w:val="nil"/>
                  </w:tcBorders>
                  <w:noWrap w:val="0"/>
                  <w:vAlign w:val="center"/>
                </w:tcPr>
                <w:p w14:paraId="0677DAEF">
                  <w:pPr>
                    <w:pStyle w:val="48"/>
                    <w:tabs>
                      <w:tab w:val="left" w:pos="0"/>
                    </w:tabs>
                    <w:bidi w:val="0"/>
                    <w:rPr>
                      <w:rFonts w:hint="eastAsia"/>
                      <w:color w:val="auto"/>
                      <w:highlight w:val="none"/>
                      <w:lang w:val="en-US" w:eastAsia="zh-CN"/>
                    </w:rPr>
                  </w:pPr>
                  <w:r>
                    <w:rPr>
                      <w:rFonts w:hint="eastAsia"/>
                      <w:color w:val="auto"/>
                      <w:highlight w:val="none"/>
                      <w:lang w:val="en-US" w:eastAsia="zh-CN"/>
                    </w:rPr>
                    <w:t>5.</w:t>
                  </w:r>
                  <w:r>
                    <w:rPr>
                      <w:rFonts w:hint="eastAsia"/>
                      <w:color w:val="auto"/>
                      <w:highlight w:val="none"/>
                    </w:rPr>
                    <w:t>禁止新建独立焦化项目。</w:t>
                  </w:r>
                </w:p>
              </w:tc>
              <w:tc>
                <w:tcPr>
                  <w:tcW w:w="1441" w:type="pct"/>
                  <w:tcBorders>
                    <w:tl2br w:val="nil"/>
                    <w:tr2bl w:val="nil"/>
                  </w:tcBorders>
                  <w:noWrap w:val="0"/>
                  <w:vAlign w:val="center"/>
                </w:tcPr>
                <w:p w14:paraId="5EFB18E2">
                  <w:pPr>
                    <w:pStyle w:val="48"/>
                    <w:tabs>
                      <w:tab w:val="left" w:pos="0"/>
                    </w:tabs>
                    <w:bidi w:val="0"/>
                    <w:rPr>
                      <w:rFonts w:hint="eastAsia"/>
                      <w:color w:val="auto"/>
                      <w:highlight w:val="none"/>
                      <w:lang w:val="en-US" w:eastAsia="zh-CN"/>
                    </w:rPr>
                  </w:pPr>
                  <w:r>
                    <w:rPr>
                      <w:rFonts w:hint="eastAsia"/>
                      <w:color w:val="auto"/>
                    </w:rPr>
                    <w:t>本项目</w:t>
                  </w:r>
                  <w:r>
                    <w:rPr>
                      <w:rFonts w:hint="eastAsia"/>
                      <w:color w:val="auto"/>
                      <w:lang w:val="en-US" w:eastAsia="zh-CN"/>
                    </w:rPr>
                    <w:t>为移动电源设备生产项目，不属于独立焦化项目。</w:t>
                  </w:r>
                </w:p>
              </w:tc>
              <w:tc>
                <w:tcPr>
                  <w:tcW w:w="450" w:type="pct"/>
                  <w:tcBorders>
                    <w:tl2br w:val="nil"/>
                    <w:tr2bl w:val="nil"/>
                  </w:tcBorders>
                  <w:noWrap w:val="0"/>
                  <w:vAlign w:val="center"/>
                </w:tcPr>
                <w:p w14:paraId="16C43AE2">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3351EE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restart"/>
                  <w:tcBorders>
                    <w:tl2br w:val="nil"/>
                    <w:tr2bl w:val="nil"/>
                  </w:tcBorders>
                  <w:noWrap w:val="0"/>
                  <w:vAlign w:val="center"/>
                </w:tcPr>
                <w:p w14:paraId="01394DAC">
                  <w:pPr>
                    <w:pStyle w:val="48"/>
                    <w:tabs>
                      <w:tab w:val="left" w:pos="0"/>
                    </w:tabs>
                    <w:bidi w:val="0"/>
                    <w:rPr>
                      <w:rFonts w:hint="eastAsia"/>
                      <w:color w:val="auto"/>
                      <w:highlight w:val="none"/>
                      <w:lang w:val="en-US" w:eastAsia="zh-CN"/>
                    </w:rPr>
                  </w:pPr>
                  <w:r>
                    <w:rPr>
                      <w:rFonts w:hint="eastAsia"/>
                      <w:color w:val="auto"/>
                      <w:highlight w:val="none"/>
                      <w:lang w:val="en-US" w:eastAsia="zh-CN"/>
                    </w:rPr>
                    <w:t>污染物排放管控</w:t>
                  </w:r>
                </w:p>
              </w:tc>
              <w:tc>
                <w:tcPr>
                  <w:tcW w:w="2664" w:type="pct"/>
                  <w:tcBorders>
                    <w:tl2br w:val="nil"/>
                    <w:tr2bl w:val="nil"/>
                  </w:tcBorders>
                  <w:noWrap w:val="0"/>
                  <w:vAlign w:val="center"/>
                </w:tcPr>
                <w:p w14:paraId="3663B23F">
                  <w:pPr>
                    <w:pStyle w:val="48"/>
                    <w:tabs>
                      <w:tab w:val="left" w:pos="0"/>
                    </w:tabs>
                    <w:bidi w:val="0"/>
                    <w:rPr>
                      <w:rFonts w:hint="eastAsia"/>
                      <w:color w:val="auto"/>
                      <w:highlight w:val="none"/>
                      <w:lang w:val="en-US" w:eastAsia="zh-CN"/>
                    </w:rPr>
                  </w:pPr>
                  <w:r>
                    <w:rPr>
                      <w:rFonts w:hint="eastAsia"/>
                      <w:color w:val="auto"/>
                      <w:highlight w:val="none"/>
                      <w:lang w:val="en-US" w:eastAsia="zh-CN"/>
                    </w:rPr>
                    <w:t>1.</w:t>
                  </w:r>
                  <w:r>
                    <w:rPr>
                      <w:rFonts w:hint="eastAsia"/>
                      <w:color w:val="auto"/>
                      <w:highlight w:val="none"/>
                    </w:rPr>
                    <w:t>根据《江苏省长江水污染防治条例》实施污染物总量控制制度。</w:t>
                  </w:r>
                </w:p>
              </w:tc>
              <w:tc>
                <w:tcPr>
                  <w:tcW w:w="1441" w:type="pct"/>
                  <w:vMerge w:val="restart"/>
                  <w:tcBorders>
                    <w:tl2br w:val="nil"/>
                    <w:tr2bl w:val="nil"/>
                  </w:tcBorders>
                  <w:noWrap w:val="0"/>
                  <w:vAlign w:val="center"/>
                </w:tcPr>
                <w:p w14:paraId="78A261CA">
                  <w:pPr>
                    <w:pStyle w:val="48"/>
                    <w:tabs>
                      <w:tab w:val="left" w:pos="0"/>
                    </w:tabs>
                    <w:bidi w:val="0"/>
                    <w:rPr>
                      <w:rFonts w:hint="eastAsia"/>
                      <w:color w:val="auto"/>
                      <w:highlight w:val="none"/>
                      <w:lang w:val="en-US" w:eastAsia="zh-CN"/>
                    </w:rPr>
                  </w:pPr>
                  <w:r>
                    <w:rPr>
                      <w:rFonts w:hint="eastAsia"/>
                      <w:color w:val="auto"/>
                      <w:highlight w:val="none"/>
                      <w:lang w:val="en-US" w:eastAsia="zh-CN"/>
                    </w:rPr>
                    <w:t>本项目已向南京市</w:t>
                  </w:r>
                  <w:sdt>
                    <w:sdtPr>
                      <w:rPr>
                        <w:color w:val="auto"/>
                      </w:rPr>
                      <w:alias w:val="语法错误"/>
                      <w:tag w:val="reviewtag_FF0000"/>
                      <w:id w:val="2153435"/>
                    </w:sdtPr>
                    <w:sdtEndPr>
                      <w:rPr>
                        <w:color w:val="auto"/>
                      </w:rPr>
                    </w:sdtEndPr>
                    <w:sdtContent>
                      <w:bookmarkStart w:id="55" w:name="bkReivew2153435"/>
                      <w:r>
                        <w:rPr>
                          <w:rFonts w:hint="eastAsia"/>
                          <w:color w:val="auto"/>
                          <w:highlight w:val="none"/>
                          <w:lang w:val="en-US" w:eastAsia="zh-CN"/>
                        </w:rPr>
                        <w:t>江宁</w:t>
                      </w:r>
                      <w:bookmarkEnd w:id="55"/>
                    </w:sdtContent>
                  </w:sdt>
                  <w:r>
                    <w:rPr>
                      <w:rFonts w:hint="eastAsia"/>
                      <w:color w:val="auto"/>
                      <w:highlight w:val="none"/>
                      <w:lang w:val="en-US" w:eastAsia="zh-CN"/>
                    </w:rPr>
                    <w:t>生态环境局申请总量，废水污染物由江宁区水减排项目平衡，</w:t>
                  </w:r>
                  <w:r>
                    <w:rPr>
                      <w:rFonts w:hint="eastAsia" w:ascii="Times New Roman" w:hAnsi="Times New Roman" w:eastAsia="宋体" w:cs="Times New Roman"/>
                      <w:color w:val="auto"/>
                      <w:kern w:val="0"/>
                      <w:sz w:val="21"/>
                      <w:szCs w:val="24"/>
                      <w:highlight w:val="none"/>
                      <w:lang w:val="zh-CN" w:eastAsia="zh-CN" w:bidi="ar-SA"/>
                    </w:rPr>
                    <w:t>废气污染物由江宁区大气减排项目平衡。</w:t>
                  </w:r>
                </w:p>
              </w:tc>
              <w:tc>
                <w:tcPr>
                  <w:tcW w:w="450" w:type="pct"/>
                  <w:vMerge w:val="restart"/>
                  <w:tcBorders>
                    <w:tl2br w:val="nil"/>
                    <w:tr2bl w:val="nil"/>
                  </w:tcBorders>
                  <w:noWrap w:val="0"/>
                  <w:vAlign w:val="center"/>
                </w:tcPr>
                <w:p w14:paraId="3A11B563">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393FAA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continue"/>
                  <w:tcBorders>
                    <w:tl2br w:val="nil"/>
                    <w:tr2bl w:val="nil"/>
                  </w:tcBorders>
                  <w:noWrap w:val="0"/>
                  <w:vAlign w:val="center"/>
                </w:tcPr>
                <w:p w14:paraId="3F3A1A5F">
                  <w:pPr>
                    <w:pStyle w:val="48"/>
                    <w:tabs>
                      <w:tab w:val="left" w:pos="0"/>
                    </w:tabs>
                    <w:bidi w:val="0"/>
                    <w:rPr>
                      <w:rFonts w:hint="eastAsia"/>
                      <w:color w:val="auto"/>
                      <w:highlight w:val="none"/>
                      <w:lang w:val="en-US" w:eastAsia="zh-CN"/>
                    </w:rPr>
                  </w:pPr>
                </w:p>
              </w:tc>
              <w:tc>
                <w:tcPr>
                  <w:tcW w:w="2664" w:type="pct"/>
                  <w:tcBorders>
                    <w:tl2br w:val="nil"/>
                    <w:tr2bl w:val="nil"/>
                  </w:tcBorders>
                  <w:noWrap w:val="0"/>
                  <w:vAlign w:val="center"/>
                </w:tcPr>
                <w:p w14:paraId="52F0D1B5">
                  <w:pPr>
                    <w:pStyle w:val="48"/>
                    <w:tabs>
                      <w:tab w:val="left" w:pos="0"/>
                    </w:tabs>
                    <w:bidi w:val="0"/>
                    <w:rPr>
                      <w:rFonts w:hint="eastAsia"/>
                      <w:color w:val="auto"/>
                      <w:highlight w:val="none"/>
                      <w:lang w:val="en-US" w:eastAsia="zh-CN"/>
                    </w:rPr>
                  </w:pPr>
                  <w:r>
                    <w:rPr>
                      <w:rFonts w:hint="eastAsia"/>
                      <w:color w:val="auto"/>
                      <w:highlight w:val="none"/>
                      <w:lang w:val="en-US" w:eastAsia="zh-CN"/>
                    </w:rPr>
                    <w:t>2.</w:t>
                  </w:r>
                  <w:r>
                    <w:rPr>
                      <w:rFonts w:hint="eastAsia"/>
                      <w:color w:val="auto"/>
                      <w:highlight w:val="none"/>
                    </w:rPr>
                    <w:t>全面加强和规范长江入河排污口管理，有效管控入河污染物排放，形成权责清晰、监控到位、管理规范的长江入河排污口监管体系，加快改善长江水环境质量。</w:t>
                  </w:r>
                </w:p>
              </w:tc>
              <w:tc>
                <w:tcPr>
                  <w:tcW w:w="1441" w:type="pct"/>
                  <w:vMerge w:val="continue"/>
                  <w:tcBorders>
                    <w:tl2br w:val="nil"/>
                    <w:tr2bl w:val="nil"/>
                  </w:tcBorders>
                  <w:noWrap w:val="0"/>
                  <w:vAlign w:val="center"/>
                </w:tcPr>
                <w:p w14:paraId="4D3523C8">
                  <w:pPr>
                    <w:pStyle w:val="48"/>
                    <w:tabs>
                      <w:tab w:val="left" w:pos="0"/>
                    </w:tabs>
                    <w:bidi w:val="0"/>
                    <w:rPr>
                      <w:rFonts w:hint="eastAsia"/>
                      <w:color w:val="auto"/>
                      <w:highlight w:val="none"/>
                      <w:lang w:val="en-US" w:eastAsia="zh-CN"/>
                    </w:rPr>
                  </w:pPr>
                </w:p>
              </w:tc>
              <w:tc>
                <w:tcPr>
                  <w:tcW w:w="450" w:type="pct"/>
                  <w:vMerge w:val="continue"/>
                  <w:tcBorders>
                    <w:tl2br w:val="nil"/>
                    <w:tr2bl w:val="nil"/>
                  </w:tcBorders>
                  <w:noWrap w:val="0"/>
                  <w:vAlign w:val="center"/>
                </w:tcPr>
                <w:p w14:paraId="156984BD">
                  <w:pPr>
                    <w:pStyle w:val="48"/>
                    <w:tabs>
                      <w:tab w:val="left" w:pos="0"/>
                    </w:tabs>
                    <w:bidi w:val="0"/>
                    <w:rPr>
                      <w:rFonts w:hint="eastAsia"/>
                      <w:color w:val="auto"/>
                      <w:highlight w:val="none"/>
                      <w:lang w:val="en-US" w:eastAsia="zh-CN"/>
                    </w:rPr>
                  </w:pPr>
                </w:p>
              </w:tc>
            </w:tr>
            <w:tr w14:paraId="77F6FC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restart"/>
                  <w:tcBorders>
                    <w:tl2br w:val="nil"/>
                    <w:tr2bl w:val="nil"/>
                  </w:tcBorders>
                  <w:noWrap w:val="0"/>
                  <w:vAlign w:val="center"/>
                </w:tcPr>
                <w:p w14:paraId="618520CD">
                  <w:pPr>
                    <w:pStyle w:val="48"/>
                    <w:tabs>
                      <w:tab w:val="left" w:pos="0"/>
                    </w:tabs>
                    <w:bidi w:val="0"/>
                    <w:rPr>
                      <w:rFonts w:hint="eastAsia"/>
                      <w:color w:val="auto"/>
                      <w:highlight w:val="none"/>
                      <w:lang w:val="en-US" w:eastAsia="zh-CN"/>
                    </w:rPr>
                  </w:pPr>
                  <w:r>
                    <w:rPr>
                      <w:rFonts w:hint="eastAsia"/>
                      <w:color w:val="auto"/>
                      <w:highlight w:val="none"/>
                      <w:lang w:val="en-US" w:eastAsia="zh-CN"/>
                    </w:rPr>
                    <w:t>环境风险防控</w:t>
                  </w:r>
                </w:p>
              </w:tc>
              <w:tc>
                <w:tcPr>
                  <w:tcW w:w="2664" w:type="pct"/>
                  <w:tcBorders>
                    <w:tl2br w:val="nil"/>
                    <w:tr2bl w:val="nil"/>
                  </w:tcBorders>
                  <w:noWrap w:val="0"/>
                  <w:vAlign w:val="center"/>
                </w:tcPr>
                <w:p w14:paraId="6CAEAB5E">
                  <w:pPr>
                    <w:pStyle w:val="48"/>
                    <w:tabs>
                      <w:tab w:val="left" w:pos="0"/>
                    </w:tabs>
                    <w:bidi w:val="0"/>
                    <w:rPr>
                      <w:rFonts w:hint="eastAsia"/>
                      <w:color w:val="auto"/>
                      <w:highlight w:val="none"/>
                      <w:lang w:val="en-US" w:eastAsia="zh-CN"/>
                    </w:rPr>
                  </w:pPr>
                  <w:r>
                    <w:rPr>
                      <w:rFonts w:hint="eastAsia"/>
                      <w:color w:val="auto"/>
                      <w:highlight w:val="none"/>
                      <w:lang w:val="en-US" w:eastAsia="zh-CN"/>
                    </w:rPr>
                    <w:t>1.</w:t>
                  </w:r>
                  <w:r>
                    <w:rPr>
                      <w:rFonts w:hint="eastAsia"/>
                      <w:color w:val="auto"/>
                      <w:highlight w:val="none"/>
                    </w:rPr>
                    <w:t>防范沿江环境风险。深化沿江石化、化工、医药、纺织、印染、化纤、危化品和石油类仓储、涉重金属和危险废物处置等重点企业环境风险防控。</w:t>
                  </w:r>
                </w:p>
              </w:tc>
              <w:tc>
                <w:tcPr>
                  <w:tcW w:w="1441" w:type="pct"/>
                  <w:vMerge w:val="restart"/>
                  <w:tcBorders>
                    <w:tl2br w:val="nil"/>
                    <w:tr2bl w:val="nil"/>
                  </w:tcBorders>
                  <w:noWrap w:val="0"/>
                  <w:vAlign w:val="center"/>
                </w:tcPr>
                <w:p w14:paraId="2A9F184B">
                  <w:pPr>
                    <w:pStyle w:val="48"/>
                    <w:tabs>
                      <w:tab w:val="left" w:pos="0"/>
                    </w:tabs>
                    <w:bidi w:val="0"/>
                    <w:rPr>
                      <w:rFonts w:hint="eastAsia"/>
                      <w:color w:val="auto"/>
                      <w:highlight w:val="none"/>
                      <w:lang w:val="en-US" w:eastAsia="zh-CN"/>
                    </w:rPr>
                  </w:pPr>
                  <w:r>
                    <w:rPr>
                      <w:rFonts w:hint="eastAsia"/>
                      <w:color w:val="auto"/>
                      <w:highlight w:val="none"/>
                    </w:rPr>
                    <w:t>本项目</w:t>
                  </w:r>
                  <w:r>
                    <w:rPr>
                      <w:rFonts w:hint="eastAsia"/>
                      <w:color w:val="auto"/>
                      <w:highlight w:val="none"/>
                      <w:lang w:val="en-US" w:eastAsia="zh-CN"/>
                    </w:rPr>
                    <w:t>为移动电源设备生产项目，企业已落实必要的环境风险防范措施。</w:t>
                  </w:r>
                </w:p>
              </w:tc>
              <w:tc>
                <w:tcPr>
                  <w:tcW w:w="450" w:type="pct"/>
                  <w:tcBorders>
                    <w:tl2br w:val="nil"/>
                    <w:tr2bl w:val="nil"/>
                  </w:tcBorders>
                  <w:noWrap w:val="0"/>
                  <w:vAlign w:val="center"/>
                </w:tcPr>
                <w:p w14:paraId="30C10288">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1CED93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vMerge w:val="continue"/>
                  <w:tcBorders>
                    <w:tl2br w:val="nil"/>
                    <w:tr2bl w:val="nil"/>
                  </w:tcBorders>
                  <w:noWrap w:val="0"/>
                  <w:vAlign w:val="center"/>
                </w:tcPr>
                <w:p w14:paraId="473D00B5">
                  <w:pPr>
                    <w:pStyle w:val="48"/>
                    <w:tabs>
                      <w:tab w:val="left" w:pos="0"/>
                    </w:tabs>
                    <w:bidi w:val="0"/>
                    <w:rPr>
                      <w:rFonts w:hint="eastAsia"/>
                      <w:color w:val="auto"/>
                      <w:highlight w:val="none"/>
                      <w:lang w:val="en-US" w:eastAsia="zh-CN"/>
                    </w:rPr>
                  </w:pPr>
                </w:p>
              </w:tc>
              <w:tc>
                <w:tcPr>
                  <w:tcW w:w="2664" w:type="pct"/>
                  <w:tcBorders>
                    <w:tl2br w:val="nil"/>
                    <w:tr2bl w:val="nil"/>
                  </w:tcBorders>
                  <w:noWrap w:val="0"/>
                  <w:vAlign w:val="center"/>
                </w:tcPr>
                <w:p w14:paraId="4E2A4B81">
                  <w:pPr>
                    <w:pStyle w:val="48"/>
                    <w:tabs>
                      <w:tab w:val="left" w:pos="0"/>
                    </w:tabs>
                    <w:bidi w:val="0"/>
                    <w:rPr>
                      <w:rFonts w:hint="eastAsia"/>
                      <w:color w:val="auto"/>
                      <w:highlight w:val="none"/>
                      <w:lang w:val="en-US" w:eastAsia="zh-CN"/>
                    </w:rPr>
                  </w:pPr>
                  <w:r>
                    <w:rPr>
                      <w:rFonts w:hint="eastAsia"/>
                      <w:color w:val="auto"/>
                      <w:highlight w:val="none"/>
                      <w:lang w:val="en-US" w:eastAsia="zh-CN"/>
                    </w:rPr>
                    <w:t>2.</w:t>
                  </w:r>
                  <w:r>
                    <w:rPr>
                      <w:rFonts w:hint="eastAsia"/>
                      <w:color w:val="auto"/>
                      <w:highlight w:val="none"/>
                    </w:rPr>
                    <w:t>加强饮用水水源保护。优化水源保护区划定，推动饮用水水源地规范化建设。</w:t>
                  </w:r>
                </w:p>
              </w:tc>
              <w:tc>
                <w:tcPr>
                  <w:tcW w:w="1441" w:type="pct"/>
                  <w:vMerge w:val="continue"/>
                  <w:tcBorders>
                    <w:tl2br w:val="nil"/>
                    <w:tr2bl w:val="nil"/>
                  </w:tcBorders>
                  <w:noWrap w:val="0"/>
                  <w:vAlign w:val="center"/>
                </w:tcPr>
                <w:p w14:paraId="35DD6020">
                  <w:pPr>
                    <w:pStyle w:val="48"/>
                    <w:tabs>
                      <w:tab w:val="left" w:pos="0"/>
                    </w:tabs>
                    <w:bidi w:val="0"/>
                    <w:rPr>
                      <w:rFonts w:hint="eastAsia"/>
                      <w:color w:val="auto"/>
                      <w:highlight w:val="none"/>
                      <w:lang w:val="en-US" w:eastAsia="zh-CN"/>
                    </w:rPr>
                  </w:pPr>
                </w:p>
              </w:tc>
              <w:tc>
                <w:tcPr>
                  <w:tcW w:w="450" w:type="pct"/>
                  <w:tcBorders>
                    <w:tl2br w:val="nil"/>
                    <w:tr2bl w:val="nil"/>
                  </w:tcBorders>
                  <w:noWrap w:val="0"/>
                  <w:vAlign w:val="center"/>
                </w:tcPr>
                <w:p w14:paraId="47FF9F71">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r w14:paraId="7F3D5D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443" w:type="pct"/>
                  <w:tcBorders>
                    <w:tl2br w:val="nil"/>
                    <w:tr2bl w:val="nil"/>
                  </w:tcBorders>
                  <w:noWrap w:val="0"/>
                  <w:vAlign w:val="center"/>
                </w:tcPr>
                <w:p w14:paraId="7695303D">
                  <w:pPr>
                    <w:pStyle w:val="48"/>
                    <w:tabs>
                      <w:tab w:val="left" w:pos="0"/>
                    </w:tabs>
                    <w:bidi w:val="0"/>
                    <w:rPr>
                      <w:rFonts w:hint="eastAsia"/>
                      <w:color w:val="auto"/>
                      <w:highlight w:val="none"/>
                      <w:lang w:val="en-US" w:eastAsia="zh-CN"/>
                    </w:rPr>
                  </w:pPr>
                  <w:r>
                    <w:rPr>
                      <w:rFonts w:hint="eastAsia"/>
                      <w:color w:val="auto"/>
                      <w:highlight w:val="none"/>
                      <w:lang w:val="en-US" w:eastAsia="zh-CN"/>
                    </w:rPr>
                    <w:t>资源利用效率要求</w:t>
                  </w:r>
                </w:p>
              </w:tc>
              <w:tc>
                <w:tcPr>
                  <w:tcW w:w="2664" w:type="pct"/>
                  <w:tcBorders>
                    <w:tl2br w:val="nil"/>
                    <w:tr2bl w:val="nil"/>
                  </w:tcBorders>
                  <w:noWrap w:val="0"/>
                  <w:vAlign w:val="center"/>
                </w:tcPr>
                <w:p w14:paraId="4D4B7716">
                  <w:pPr>
                    <w:pStyle w:val="48"/>
                    <w:tabs>
                      <w:tab w:val="left" w:pos="0"/>
                    </w:tabs>
                    <w:bidi w:val="0"/>
                    <w:rPr>
                      <w:rFonts w:hint="eastAsia"/>
                      <w:color w:val="auto"/>
                      <w:highlight w:val="none"/>
                      <w:lang w:val="en-US" w:eastAsia="zh-CN"/>
                    </w:rPr>
                  </w:pPr>
                  <w:r>
                    <w:rPr>
                      <w:rFonts w:hint="eastAsia"/>
                      <w:color w:val="auto"/>
                      <w:highlight w:val="none"/>
                    </w:rPr>
                    <w:t>禁止在长江干支流岸线管控范围内新建、扩建化工园区和化工项目。禁止在长江干流岸线和重要支流岸线管控范围内新建、改建、扩建尾矿库，但是以提升安全、生态环境保护水平为目的的改建除外。</w:t>
                  </w:r>
                </w:p>
              </w:tc>
              <w:tc>
                <w:tcPr>
                  <w:tcW w:w="1441" w:type="pct"/>
                  <w:tcBorders>
                    <w:tl2br w:val="nil"/>
                    <w:tr2bl w:val="nil"/>
                  </w:tcBorders>
                  <w:noWrap w:val="0"/>
                  <w:vAlign w:val="center"/>
                </w:tcPr>
                <w:p w14:paraId="162A7082">
                  <w:pPr>
                    <w:pStyle w:val="48"/>
                    <w:tabs>
                      <w:tab w:val="left" w:pos="0"/>
                    </w:tabs>
                    <w:bidi w:val="0"/>
                    <w:rPr>
                      <w:rFonts w:hint="default"/>
                      <w:color w:val="auto"/>
                      <w:highlight w:val="none"/>
                      <w:lang w:val="en-US" w:eastAsia="zh-CN"/>
                    </w:rPr>
                  </w:pPr>
                  <w:r>
                    <w:rPr>
                      <w:rFonts w:hint="eastAsia"/>
                      <w:color w:val="auto"/>
                    </w:rPr>
                    <w:t>本项目</w:t>
                  </w:r>
                  <w:r>
                    <w:rPr>
                      <w:rFonts w:hint="eastAsia"/>
                      <w:color w:val="auto"/>
                      <w:lang w:val="en-US" w:eastAsia="zh-CN"/>
                    </w:rPr>
                    <w:t>为移动电源设备生产项目，不属于化工、尾矿库项目。</w:t>
                  </w:r>
                </w:p>
              </w:tc>
              <w:tc>
                <w:tcPr>
                  <w:tcW w:w="450" w:type="pct"/>
                  <w:tcBorders>
                    <w:tl2br w:val="nil"/>
                    <w:tr2bl w:val="nil"/>
                  </w:tcBorders>
                  <w:noWrap w:val="0"/>
                  <w:vAlign w:val="center"/>
                </w:tcPr>
                <w:p w14:paraId="741650C9">
                  <w:pPr>
                    <w:pStyle w:val="48"/>
                    <w:tabs>
                      <w:tab w:val="left" w:pos="0"/>
                    </w:tabs>
                    <w:bidi w:val="0"/>
                    <w:rPr>
                      <w:rFonts w:hint="eastAsia"/>
                      <w:color w:val="auto"/>
                      <w:highlight w:val="none"/>
                      <w:lang w:val="en-US" w:eastAsia="zh-CN"/>
                    </w:rPr>
                  </w:pPr>
                  <w:r>
                    <w:rPr>
                      <w:rFonts w:hint="eastAsia"/>
                      <w:color w:val="auto"/>
                      <w:highlight w:val="none"/>
                      <w:lang w:val="en-US" w:eastAsia="zh-CN"/>
                    </w:rPr>
                    <w:t>相符</w:t>
                  </w:r>
                </w:p>
              </w:tc>
            </w:tr>
          </w:tbl>
          <w:p w14:paraId="1C01748B">
            <w:pPr>
              <w:bidi w:val="0"/>
              <w:rPr>
                <w:rFonts w:hint="eastAsia"/>
                <w:color w:val="auto"/>
                <w:highlight w:val="none"/>
              </w:rPr>
            </w:pPr>
            <w:r>
              <w:rPr>
                <w:rFonts w:hint="eastAsia"/>
                <w:color w:val="auto"/>
                <w:highlight w:val="none"/>
              </w:rPr>
              <w:t>综上，本项目符合</w:t>
            </w:r>
            <w:r>
              <w:rPr>
                <w:b w:val="0"/>
                <w:bCs w:val="0"/>
                <w:color w:val="auto"/>
                <w:highlight w:val="none"/>
              </w:rPr>
              <w:t>《</w:t>
            </w:r>
            <w:r>
              <w:rPr>
                <w:rFonts w:hint="eastAsia"/>
                <w:b w:val="0"/>
                <w:bCs w:val="0"/>
                <w:color w:val="auto"/>
                <w:highlight w:val="none"/>
              </w:rPr>
              <w:t>江苏省2023年度生态环境分区管控动态更新成果</w:t>
            </w:r>
            <w:r>
              <w:rPr>
                <w:b w:val="0"/>
                <w:bCs w:val="0"/>
                <w:color w:val="auto"/>
                <w:highlight w:val="none"/>
              </w:rPr>
              <w:t>》</w:t>
            </w:r>
            <w:r>
              <w:rPr>
                <w:rFonts w:hint="eastAsia"/>
                <w:color w:val="auto"/>
                <w:highlight w:val="none"/>
              </w:rPr>
              <w:t>的要求</w:t>
            </w:r>
            <w:r>
              <w:rPr>
                <w:rFonts w:hint="eastAsia"/>
                <w:color w:val="auto"/>
                <w:highlight w:val="none"/>
                <w:lang w:eastAsia="zh-CN"/>
              </w:rPr>
              <w:t>。</w:t>
            </w:r>
          </w:p>
          <w:p w14:paraId="74A4F1C8">
            <w:pPr>
              <w:bidi w:val="0"/>
              <w:rPr>
                <w:b/>
                <w:bCs/>
                <w:color w:val="auto"/>
                <w:highlight w:val="none"/>
              </w:rPr>
            </w:pPr>
            <w:bookmarkStart w:id="56" w:name="sys295035"/>
            <w:r>
              <w:rPr>
                <w:rFonts w:hint="eastAsia"/>
                <w:b/>
                <w:bCs/>
                <w:color w:val="auto"/>
                <w:highlight w:val="none"/>
                <w:lang w:val="en-US" w:eastAsia="zh-CN"/>
              </w:rPr>
              <w:t>5.</w:t>
            </w:r>
            <w:r>
              <w:rPr>
                <w:b/>
                <w:bCs/>
                <w:color w:val="auto"/>
                <w:highlight w:val="none"/>
              </w:rPr>
              <w:t>与</w:t>
            </w:r>
            <w:r>
              <w:rPr>
                <w:rFonts w:hint="eastAsia"/>
                <w:b/>
                <w:bCs/>
                <w:color w:val="auto"/>
                <w:highlight w:val="none"/>
              </w:rPr>
              <w:t>《南京市生态环境分区管控实施方案》（202</w:t>
            </w:r>
            <w:r>
              <w:rPr>
                <w:rFonts w:hint="eastAsia"/>
                <w:b/>
                <w:bCs/>
                <w:color w:val="auto"/>
                <w:highlight w:val="none"/>
                <w:lang w:val="en-US" w:eastAsia="zh-CN"/>
              </w:rPr>
              <w:t>4</w:t>
            </w:r>
            <w:r>
              <w:rPr>
                <w:rFonts w:hint="eastAsia"/>
                <w:b/>
                <w:bCs/>
                <w:color w:val="auto"/>
                <w:highlight w:val="none"/>
              </w:rPr>
              <w:t>年更新版）</w:t>
            </w:r>
            <w:r>
              <w:rPr>
                <w:b/>
                <w:bCs/>
                <w:color w:val="auto"/>
                <w:highlight w:val="none"/>
              </w:rPr>
              <w:t>相符性分析</w:t>
            </w:r>
            <w:bookmarkEnd w:id="56"/>
          </w:p>
          <w:p w14:paraId="32489753">
            <w:pPr>
              <w:bidi w:val="0"/>
              <w:rPr>
                <w:rFonts w:hint="eastAsia" w:ascii="Times New Roman" w:hAnsi="Times New Roman" w:eastAsia="宋体" w:cs="Times New Roman"/>
                <w:color w:val="auto"/>
                <w:sz w:val="24"/>
                <w:szCs w:val="24"/>
                <w:highlight w:val="none"/>
                <w:lang w:val="en-US" w:eastAsia="zh-CN"/>
              </w:rPr>
            </w:pPr>
            <w:r>
              <w:rPr>
                <w:color w:val="auto"/>
                <w:highlight w:val="none"/>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lang w:eastAsia="zh-CN"/>
              </w:rPr>
              <w:t>，</w:t>
            </w:r>
            <w:r>
              <w:rPr>
                <w:rFonts w:hint="eastAsia"/>
                <w:color w:val="auto"/>
                <w:highlight w:val="none"/>
                <w:lang w:val="en-US" w:eastAsia="zh-CN"/>
              </w:rPr>
              <w:t>通过查询江苏省生态环境分区管控综合服务系统，本项目所在位置</w:t>
            </w:r>
            <w:r>
              <w:rPr>
                <w:rFonts w:hint="eastAsia"/>
                <w:color w:val="auto"/>
                <w:highlight w:val="none"/>
                <w:lang w:eastAsia="zh-CN"/>
              </w:rPr>
              <w:t>属于</w:t>
            </w:r>
            <w:r>
              <w:rPr>
                <w:rFonts w:hint="eastAsia"/>
                <w:color w:val="auto"/>
                <w:highlight w:val="none"/>
                <w:lang w:val="en-US" w:eastAsia="zh-CN"/>
              </w:rPr>
              <w:t>江宁区陶吴片区工业集中区</w:t>
            </w:r>
            <w:r>
              <w:rPr>
                <w:rFonts w:hint="default" w:ascii="Times New Roman" w:hAnsi="Times New Roman" w:eastAsia="宋体" w:cs="Times New Roman"/>
                <w:color w:val="auto"/>
                <w:sz w:val="24"/>
                <w:szCs w:val="24"/>
                <w:highlight w:val="none"/>
                <w:lang w:val="zh-CN"/>
              </w:rPr>
              <w:t>，</w:t>
            </w:r>
            <w:r>
              <w:rPr>
                <w:rFonts w:hint="eastAsia" w:ascii="Times New Roman" w:hAnsi="Times New Roman" w:eastAsia="宋体" w:cs="Times New Roman"/>
                <w:color w:val="auto"/>
                <w:sz w:val="24"/>
                <w:szCs w:val="24"/>
                <w:highlight w:val="none"/>
                <w:lang w:val="zh-CN"/>
              </w:rPr>
              <w:t>为</w:t>
            </w:r>
            <w:r>
              <w:rPr>
                <w:rFonts w:hint="default" w:ascii="Times New Roman" w:hAnsi="Times New Roman" w:eastAsia="宋体" w:cs="Times New Roman"/>
                <w:color w:val="auto"/>
                <w:sz w:val="24"/>
                <w:szCs w:val="24"/>
                <w:highlight w:val="none"/>
                <w:lang w:val="zh-CN"/>
              </w:rPr>
              <w:t>重点管控单元</w:t>
            </w:r>
            <w:r>
              <w:rPr>
                <w:rFonts w:hint="eastAsia" w:ascii="Times New Roman" w:hAnsi="Times New Roman" w:eastAsia="宋体" w:cs="Times New Roman"/>
                <w:color w:val="auto"/>
                <w:sz w:val="24"/>
                <w:szCs w:val="24"/>
                <w:highlight w:val="none"/>
                <w:lang w:val="zh-CN"/>
              </w:rPr>
              <w:t>。</w:t>
            </w:r>
          </w:p>
          <w:p w14:paraId="154EE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auto"/>
                <w:highlight w:val="none"/>
                <w:lang w:eastAsia="zh-CN"/>
              </w:rPr>
            </w:pPr>
            <w:r>
              <w:rPr>
                <w:color w:val="auto"/>
              </w:rPr>
              <w:drawing>
                <wp:inline distT="0" distB="0" distL="114300" distR="114300">
                  <wp:extent cx="5268595" cy="2941320"/>
                  <wp:effectExtent l="0" t="0" r="8255" b="1143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14"/>
                          <a:stretch>
                            <a:fillRect/>
                          </a:stretch>
                        </pic:blipFill>
                        <pic:spPr>
                          <a:xfrm>
                            <a:off x="0" y="0"/>
                            <a:ext cx="5268595" cy="2941320"/>
                          </a:xfrm>
                          <a:prstGeom prst="rect">
                            <a:avLst/>
                          </a:prstGeom>
                          <a:noFill/>
                          <a:ln>
                            <a:noFill/>
                          </a:ln>
                        </pic:spPr>
                      </pic:pic>
                    </a:graphicData>
                  </a:graphic>
                </wp:inline>
              </w:drawing>
            </w:r>
          </w:p>
          <w:p w14:paraId="0F40FCDF">
            <w:pPr>
              <w:pStyle w:val="55"/>
              <w:bidi w:val="0"/>
              <w:rPr>
                <w:rFonts w:hint="default"/>
                <w:color w:val="auto"/>
                <w:highlight w:val="none"/>
                <w:lang w:val="en-US" w:eastAsia="zh-CN"/>
              </w:rPr>
            </w:pPr>
            <w:bookmarkStart w:id="57" w:name="sys298032"/>
            <w:r>
              <w:rPr>
                <w:rFonts w:hint="eastAsia"/>
                <w:color w:val="auto"/>
                <w:highlight w:val="none"/>
                <w:lang w:val="en-US" w:eastAsia="zh-CN"/>
              </w:rPr>
              <w:t>图1-3 本项目所在位置</w:t>
            </w:r>
            <w:sdt>
              <w:sdtPr>
                <w:rPr>
                  <w:color w:val="auto"/>
                  <w:highlight w:val="none"/>
                </w:rPr>
                <w:alias w:val="语法错误"/>
                <w:tag w:val="reviewtag_FF0000"/>
                <w:id w:val="2735"/>
              </w:sdtPr>
              <w:sdtEndPr>
                <w:rPr>
                  <w:color w:val="auto"/>
                  <w:highlight w:val="none"/>
                </w:rPr>
              </w:sdtEndPr>
              <w:sdtContent>
                <w:bookmarkStart w:id="58" w:name="bkReivew2735"/>
                <w:r>
                  <w:rPr>
                    <w:rFonts w:hint="eastAsia"/>
                    <w:color w:val="auto"/>
                    <w:highlight w:val="none"/>
                    <w:lang w:val="en-US" w:eastAsia="zh-CN"/>
                  </w:rPr>
                  <w:t>在</w:t>
                </w:r>
                <w:bookmarkEnd w:id="58"/>
              </w:sdtContent>
            </w:sdt>
            <w:r>
              <w:rPr>
                <w:rFonts w:hint="eastAsia"/>
                <w:color w:val="auto"/>
                <w:highlight w:val="none"/>
                <w:lang w:val="en-US" w:eastAsia="zh-CN"/>
              </w:rPr>
              <w:t>江苏省生态环境分区管控综合服务系统截图</w:t>
            </w:r>
            <w:bookmarkEnd w:id="57"/>
          </w:p>
          <w:p w14:paraId="7864F0DD">
            <w:pPr>
              <w:bidi w:val="0"/>
              <w:rPr>
                <w:rFonts w:hint="default" w:ascii="Times New Roman" w:hAnsi="Times New Roman" w:eastAsia="宋体" w:cs="Times New Roman"/>
                <w:color w:val="auto"/>
                <w:sz w:val="24"/>
                <w:szCs w:val="24"/>
                <w:highlight w:val="none"/>
                <w:lang w:val="zh-CN"/>
              </w:rPr>
            </w:pPr>
            <w:r>
              <w:rPr>
                <w:rFonts w:hint="default" w:ascii="Times New Roman" w:hAnsi="Times New Roman" w:eastAsia="宋体" w:cs="Times New Roman"/>
                <w:color w:val="auto"/>
                <w:sz w:val="24"/>
                <w:szCs w:val="24"/>
                <w:highlight w:val="none"/>
                <w:lang w:val="zh-CN"/>
              </w:rPr>
              <w:t>本项目与南京市江宁区重点管控单元（</w:t>
            </w:r>
            <w:r>
              <w:rPr>
                <w:rFonts w:hint="eastAsia"/>
                <w:color w:val="auto"/>
                <w:highlight w:val="none"/>
                <w:lang w:val="en-US" w:eastAsia="zh-CN"/>
              </w:rPr>
              <w:t>江宁区陶吴片区工业集中区</w:t>
            </w:r>
            <w:r>
              <w:rPr>
                <w:rFonts w:hint="default" w:ascii="Times New Roman" w:hAnsi="Times New Roman" w:eastAsia="宋体" w:cs="Times New Roman"/>
                <w:color w:val="auto"/>
                <w:sz w:val="24"/>
                <w:szCs w:val="24"/>
                <w:highlight w:val="none"/>
                <w:lang w:val="zh-CN"/>
              </w:rPr>
              <w:t>）生态环境准入清单的相符性分析见下表。</w:t>
            </w:r>
          </w:p>
          <w:p w14:paraId="4A740285">
            <w:pPr>
              <w:pStyle w:val="49"/>
              <w:ind w:left="480" w:leftChars="200"/>
              <w:rPr>
                <w:rFonts w:hint="eastAsia"/>
                <w:color w:val="auto"/>
                <w:highlight w:val="none"/>
                <w:lang w:val="en-US" w:eastAsia="zh-CN"/>
              </w:rPr>
            </w:pPr>
            <w:bookmarkStart w:id="59" w:name="sys300033"/>
            <w:r>
              <w:rPr>
                <w:color w:val="auto"/>
                <w:highlight w:val="none"/>
              </w:rPr>
              <w:t>与</w:t>
            </w:r>
            <w:r>
              <w:rPr>
                <w:rFonts w:hint="eastAsia"/>
                <w:color w:val="auto"/>
                <w:highlight w:val="none"/>
              </w:rPr>
              <w:t>《南京市生态环境分区管控实施方案》（202</w:t>
            </w:r>
            <w:r>
              <w:rPr>
                <w:rFonts w:hint="eastAsia"/>
                <w:color w:val="auto"/>
                <w:highlight w:val="none"/>
                <w:lang w:val="en-US" w:eastAsia="zh-CN"/>
              </w:rPr>
              <w:t>4</w:t>
            </w:r>
            <w:r>
              <w:rPr>
                <w:rFonts w:hint="eastAsia"/>
                <w:color w:val="auto"/>
                <w:highlight w:val="none"/>
              </w:rPr>
              <w:t>年更新版）</w:t>
            </w:r>
            <w:r>
              <w:rPr>
                <w:color w:val="auto"/>
                <w:highlight w:val="none"/>
              </w:rPr>
              <w:t>相符性分析</w:t>
            </w:r>
            <w:bookmarkEnd w:id="59"/>
          </w:p>
          <w:tbl>
            <w:tblPr>
              <w:tblStyle w:val="33"/>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56"/>
              <w:gridCol w:w="426"/>
              <w:gridCol w:w="4110"/>
              <w:gridCol w:w="2118"/>
              <w:gridCol w:w="704"/>
            </w:tblGrid>
            <w:tr w14:paraId="1B6EA5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75" w:type="pct"/>
                  <w:tcBorders>
                    <w:tl2br w:val="nil"/>
                    <w:tr2bl w:val="nil"/>
                  </w:tcBorders>
                  <w:noWrap w:val="0"/>
                  <w:vAlign w:val="center"/>
                </w:tcPr>
                <w:p w14:paraId="0F1DB2E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环境管控单元名称</w:t>
                  </w:r>
                </w:p>
              </w:tc>
              <w:tc>
                <w:tcPr>
                  <w:tcW w:w="2727" w:type="pct"/>
                  <w:gridSpan w:val="2"/>
                  <w:tcBorders>
                    <w:tl2br w:val="nil"/>
                    <w:tr2bl w:val="nil"/>
                  </w:tcBorders>
                  <w:noWrap w:val="0"/>
                  <w:vAlign w:val="center"/>
                </w:tcPr>
                <w:p w14:paraId="6528120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生态环境准入清单</w:t>
                  </w:r>
                </w:p>
              </w:tc>
              <w:tc>
                <w:tcPr>
                  <w:tcW w:w="1273" w:type="pct"/>
                  <w:tcBorders>
                    <w:tl2br w:val="nil"/>
                    <w:tr2bl w:val="nil"/>
                  </w:tcBorders>
                  <w:noWrap w:val="0"/>
                  <w:vAlign w:val="center"/>
                </w:tcPr>
                <w:p w14:paraId="299E97E7">
                  <w:pPr>
                    <w:pStyle w:val="48"/>
                    <w:keepNext w:val="0"/>
                    <w:keepLines w:val="0"/>
                    <w:pageBreakBefore w:val="0"/>
                    <w:tabs>
                      <w:tab w:val="left" w:pos="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
                      <w:bCs/>
                      <w:snapToGrid w:val="0"/>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本项目情况</w:t>
                  </w:r>
                </w:p>
              </w:tc>
              <w:tc>
                <w:tcPr>
                  <w:tcW w:w="423" w:type="pct"/>
                  <w:tcBorders>
                    <w:tl2br w:val="nil"/>
                    <w:tr2bl w:val="nil"/>
                  </w:tcBorders>
                  <w:noWrap w:val="0"/>
                  <w:vAlign w:val="center"/>
                </w:tcPr>
                <w:p w14:paraId="5229FCD5">
                  <w:pPr>
                    <w:pStyle w:val="48"/>
                    <w:keepNext w:val="0"/>
                    <w:keepLines w:val="0"/>
                    <w:pageBreakBefore w:val="0"/>
                    <w:tabs>
                      <w:tab w:val="left" w:pos="0"/>
                    </w:tabs>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b/>
                      <w:bCs/>
                      <w:snapToGrid w:val="0"/>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相符性</w:t>
                  </w:r>
                </w:p>
              </w:tc>
            </w:tr>
            <w:tr w14:paraId="4BF57F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09" w:hRule="atLeast"/>
              </w:trPr>
              <w:tc>
                <w:tcPr>
                  <w:tcW w:w="575" w:type="pct"/>
                  <w:vMerge w:val="restart"/>
                  <w:tcBorders>
                    <w:tl2br w:val="nil"/>
                    <w:tr2bl w:val="nil"/>
                  </w:tcBorders>
                  <w:noWrap w:val="0"/>
                  <w:vAlign w:val="center"/>
                </w:tcPr>
                <w:p w14:paraId="77EE278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lang w:val="en-US" w:eastAsia="zh-CN"/>
                    </w:rPr>
                    <w:t>江宁区陶吴片区工业集中区</w:t>
                  </w:r>
                </w:p>
              </w:tc>
              <w:tc>
                <w:tcPr>
                  <w:tcW w:w="256" w:type="pct"/>
                  <w:tcBorders>
                    <w:tl2br w:val="nil"/>
                    <w:tr2bl w:val="nil"/>
                  </w:tcBorders>
                  <w:noWrap w:val="0"/>
                  <w:vAlign w:val="center"/>
                </w:tcPr>
                <w:p w14:paraId="719911E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空间布局约束</w:t>
                  </w:r>
                </w:p>
              </w:tc>
              <w:tc>
                <w:tcPr>
                  <w:tcW w:w="2471" w:type="pct"/>
                  <w:tcBorders>
                    <w:tl2br w:val="nil"/>
                    <w:tr2bl w:val="nil"/>
                  </w:tcBorders>
                  <w:noWrap w:val="0"/>
                  <w:vAlign w:val="center"/>
                </w:tcPr>
                <w:p w14:paraId="768C9AC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（1）执行规划和规划环评及其审查意见相关要求。</w:t>
                  </w:r>
                </w:p>
                <w:p w14:paraId="0729DF3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（2）优先引入：高端装备制造、生命健康、现代物流等主导产业。</w:t>
                  </w:r>
                </w:p>
                <w:p w14:paraId="62730F9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60" w:name="sys309046"/>
                  <w:r>
                    <w:rPr>
                      <w:rFonts w:hint="default" w:ascii="Times New Roman" w:hAnsi="Times New Roman" w:eastAsia="宋体" w:cs="Times New Roman"/>
                      <w:i w:val="0"/>
                      <w:iCs w:val="0"/>
                      <w:color w:val="auto"/>
                      <w:kern w:val="0"/>
                      <w:sz w:val="21"/>
                      <w:szCs w:val="21"/>
                      <w:highlight w:val="none"/>
                      <w:u w:val="none"/>
                      <w:lang w:val="en-US" w:eastAsia="zh-CN" w:bidi="ar"/>
                    </w:rPr>
                    <w:t>（3）禁止引入：新（扩）建排放含汞、砷、镉、铬、铅重金属废水的项目和持久性有机污染物的项目；</w:t>
                  </w:r>
                  <w:bookmarkEnd w:id="60"/>
                  <w:r>
                    <w:rPr>
                      <w:rFonts w:hint="default" w:ascii="Times New Roman" w:hAnsi="Times New Roman" w:eastAsia="宋体" w:cs="Times New Roman"/>
                      <w:i w:val="0"/>
                      <w:iCs w:val="0"/>
                      <w:color w:val="auto"/>
                      <w:kern w:val="0"/>
                      <w:sz w:val="21"/>
                      <w:szCs w:val="21"/>
                      <w:highlight w:val="none"/>
                      <w:u w:val="none"/>
                      <w:lang w:val="en-US" w:eastAsia="zh-CN" w:bidi="ar"/>
                    </w:rPr>
                    <w:t>涉及含氰电镀、含氰沉锌工艺的项目；化学原药合成生产项目；采用珍稀动植物生产中成药项目；</w:t>
                  </w:r>
                  <w:bookmarkStart w:id="61" w:name="sys3098936"/>
                  <w:r>
                    <w:rPr>
                      <w:rFonts w:hint="default" w:ascii="Times New Roman" w:hAnsi="Times New Roman" w:eastAsia="宋体" w:cs="Times New Roman"/>
                      <w:i w:val="0"/>
                      <w:iCs w:val="0"/>
                      <w:color w:val="auto"/>
                      <w:kern w:val="0"/>
                      <w:sz w:val="21"/>
                      <w:szCs w:val="21"/>
                      <w:highlight w:val="none"/>
                      <w:u w:val="none"/>
                      <w:lang w:val="en-US" w:eastAsia="zh-CN" w:bidi="ar"/>
                    </w:rPr>
                    <w:t>P3、P4生物安全实验室、转基因实验室等环境风险较大、污染重的研发项目；</w:t>
                  </w:r>
                  <w:bookmarkEnd w:id="61"/>
                  <w:r>
                    <w:rPr>
                      <w:rFonts w:hint="default" w:ascii="Times New Roman" w:hAnsi="Times New Roman" w:eastAsia="宋体" w:cs="Times New Roman"/>
                      <w:i w:val="0"/>
                      <w:iCs w:val="0"/>
                      <w:color w:val="auto"/>
                      <w:kern w:val="0"/>
                      <w:sz w:val="21"/>
                      <w:szCs w:val="21"/>
                      <w:highlight w:val="none"/>
                      <w:u w:val="none"/>
                      <w:lang w:val="en-US" w:eastAsia="zh-CN" w:bidi="ar"/>
                    </w:rPr>
                    <w:t>手工胶囊、软木塞烫蜡包装药品等淘汰和限制类产业。</w:t>
                  </w:r>
                </w:p>
                <w:p w14:paraId="45A2CEC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62" w:name="sys310050"/>
                  <w:r>
                    <w:rPr>
                      <w:rFonts w:hint="default" w:ascii="Times New Roman" w:hAnsi="Times New Roman" w:eastAsia="宋体" w:cs="Times New Roman"/>
                      <w:i w:val="0"/>
                      <w:iCs w:val="0"/>
                      <w:color w:val="auto"/>
                      <w:kern w:val="0"/>
                      <w:sz w:val="21"/>
                      <w:szCs w:val="21"/>
                      <w:highlight w:val="none"/>
                      <w:u w:val="none"/>
                      <w:lang w:val="en-US" w:eastAsia="zh-CN" w:bidi="ar"/>
                    </w:rPr>
                    <w:t>（4）生态防护空间：合理产业布局，在集中区与周边居住区之间设置一定距离的防护绿地、生态绿地等隔离带。</w:t>
                  </w:r>
                  <w:bookmarkEnd w:id="62"/>
                  <w:bookmarkStart w:id="63" w:name="sys3105077"/>
                  <w:r>
                    <w:rPr>
                      <w:rFonts w:hint="default" w:ascii="Times New Roman" w:hAnsi="Times New Roman" w:eastAsia="宋体" w:cs="Times New Roman"/>
                      <w:i w:val="0"/>
                      <w:iCs w:val="0"/>
                      <w:color w:val="auto"/>
                      <w:kern w:val="0"/>
                      <w:sz w:val="21"/>
                      <w:szCs w:val="21"/>
                      <w:highlight w:val="none"/>
                      <w:u w:val="none"/>
                      <w:lang w:val="en-US" w:eastAsia="zh-CN" w:bidi="ar"/>
                    </w:rPr>
                    <w:t>邻近生活区的工业用地，禁止引进废气污染物排放量大、无组织污染严重的项目，距离居住用地100m范围内不布置含喷涂、酸洗等排放异味气体的生产工序和危化品仓库。</w:t>
                  </w:r>
                  <w:bookmarkEnd w:id="63"/>
                </w:p>
              </w:tc>
              <w:tc>
                <w:tcPr>
                  <w:tcW w:w="1273" w:type="pct"/>
                  <w:tcBorders>
                    <w:tl2br w:val="nil"/>
                    <w:tr2bl w:val="nil"/>
                  </w:tcBorders>
                  <w:noWrap w:val="0"/>
                  <w:vAlign w:val="center"/>
                </w:tcPr>
                <w:p w14:paraId="48F6F8BA">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本项目符合规划和规划环评及其审查意见相关要求。</w:t>
                  </w:r>
                </w:p>
                <w:p w14:paraId="091FD33E">
                  <w:pPr>
                    <w:pStyle w:val="48"/>
                    <w:keepNext w:val="0"/>
                    <w:keepLines w:val="0"/>
                    <w:pageBreakBefore w:val="0"/>
                    <w:tabs>
                      <w:tab w:val="left" w:pos="0"/>
                    </w:tabs>
                    <w:kinsoku/>
                    <w:wordWrap/>
                    <w:overflowPunct/>
                    <w:topLinePunct w:val="0"/>
                    <w:autoSpaceDE/>
                    <w:autoSpaceDN/>
                    <w:bidi w:val="0"/>
                    <w:spacing w:line="24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本项目为移动电源设备生产项目，</w:t>
                  </w:r>
                  <w:r>
                    <w:rPr>
                      <w:rFonts w:hint="default" w:ascii="Times New Roman" w:hAnsi="Times New Roman" w:eastAsia="宋体" w:cs="Times New Roman"/>
                      <w:color w:val="auto"/>
                      <w:sz w:val="21"/>
                      <w:szCs w:val="21"/>
                      <w:highlight w:val="none"/>
                    </w:rPr>
                    <w:t>本项目</w:t>
                  </w:r>
                  <w:sdt>
                    <w:sdtPr>
                      <w:rPr>
                        <w:color w:val="auto"/>
                        <w:highlight w:val="none"/>
                      </w:rPr>
                      <w:alias w:val="字词错误"/>
                      <w:tag w:val="reviewtag_FF0000"/>
                      <w:id w:val="1042044"/>
                    </w:sdtPr>
                    <w:sdtEndPr>
                      <w:rPr>
                        <w:color w:val="auto"/>
                        <w:highlight w:val="none"/>
                      </w:rPr>
                    </w:sdtEndPr>
                    <w:sdtContent>
                      <w:bookmarkStart w:id="64" w:name="bkReivew1042044"/>
                      <w:r>
                        <w:rPr>
                          <w:rFonts w:hint="default" w:ascii="Times New Roman" w:hAnsi="Times New Roman" w:eastAsia="宋体" w:cs="Times New Roman"/>
                          <w:color w:val="auto"/>
                          <w:sz w:val="21"/>
                          <w:szCs w:val="21"/>
                          <w:highlight w:val="none"/>
                          <w:lang w:val="en-US" w:eastAsia="zh-CN"/>
                        </w:rPr>
                        <w:t>不</w:t>
                      </w:r>
                      <w:r>
                        <w:rPr>
                          <w:rFonts w:hint="default" w:ascii="Times New Roman" w:hAnsi="Times New Roman" w:eastAsia="宋体" w:cs="Times New Roman"/>
                          <w:color w:val="auto"/>
                          <w:sz w:val="21"/>
                          <w:szCs w:val="21"/>
                          <w:highlight w:val="none"/>
                          <w:lang w:val="zh-CN" w:eastAsia="zh-CN"/>
                        </w:rPr>
                        <w:t>排放</w:t>
                      </w:r>
                      <w:bookmarkEnd w:id="64"/>
                    </w:sdtContent>
                  </w:sdt>
                  <w:r>
                    <w:rPr>
                      <w:rFonts w:hint="default" w:ascii="Times New Roman" w:hAnsi="Times New Roman" w:eastAsia="宋体" w:cs="Times New Roman"/>
                      <w:i w:val="0"/>
                      <w:iCs w:val="0"/>
                      <w:color w:val="auto"/>
                      <w:kern w:val="0"/>
                      <w:sz w:val="21"/>
                      <w:szCs w:val="21"/>
                      <w:highlight w:val="none"/>
                      <w:u w:val="none"/>
                      <w:lang w:val="en-US" w:eastAsia="zh-CN" w:bidi="ar"/>
                    </w:rPr>
                    <w:t>含汞、砷、镉、铬、铅重金属废水的项目和持久性有机污染物的项目</w:t>
                  </w: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val="en-US" w:eastAsia="zh-CN"/>
                    </w:rPr>
                    <w:t>不属于禁止引入项目。</w:t>
                  </w:r>
                </w:p>
                <w:p w14:paraId="6588B481">
                  <w:pPr>
                    <w:pStyle w:val="48"/>
                    <w:keepNext w:val="0"/>
                    <w:keepLines w:val="0"/>
                    <w:pageBreakBefore w:val="0"/>
                    <w:tabs>
                      <w:tab w:val="left" w:pos="0"/>
                    </w:tabs>
                    <w:kinsoku/>
                    <w:wordWrap/>
                    <w:overflowPunct/>
                    <w:topLinePunct w:val="0"/>
                    <w:autoSpaceDE/>
                    <w:autoSpaceDN/>
                    <w:bidi w:val="0"/>
                    <w:spacing w:line="24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本项目100m范围内不涉及敏感目标</w:t>
                  </w:r>
                </w:p>
              </w:tc>
              <w:tc>
                <w:tcPr>
                  <w:tcW w:w="423" w:type="pct"/>
                  <w:tcBorders>
                    <w:tl2br w:val="nil"/>
                    <w:tr2bl w:val="nil"/>
                  </w:tcBorders>
                  <w:noWrap w:val="0"/>
                  <w:vAlign w:val="center"/>
                </w:tcPr>
                <w:p w14:paraId="25B643A8">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r w14:paraId="21AF64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5" w:type="pct"/>
                  <w:vMerge w:val="continue"/>
                  <w:tcBorders>
                    <w:tl2br w:val="nil"/>
                    <w:tr2bl w:val="nil"/>
                  </w:tcBorders>
                  <w:noWrap w:val="0"/>
                  <w:vAlign w:val="center"/>
                </w:tcPr>
                <w:p w14:paraId="5CCE5C1D">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56" w:type="pct"/>
                  <w:tcBorders>
                    <w:tl2br w:val="nil"/>
                    <w:tr2bl w:val="nil"/>
                  </w:tcBorders>
                  <w:noWrap w:val="0"/>
                  <w:vAlign w:val="center"/>
                </w:tcPr>
                <w:p w14:paraId="6472F1C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污染物排放管控</w:t>
                  </w:r>
                </w:p>
              </w:tc>
              <w:tc>
                <w:tcPr>
                  <w:tcW w:w="2471" w:type="pct"/>
                  <w:tcBorders>
                    <w:tl2br w:val="nil"/>
                    <w:tr2bl w:val="nil"/>
                  </w:tcBorders>
                  <w:noWrap w:val="0"/>
                  <w:vAlign w:val="center"/>
                </w:tcPr>
                <w:p w14:paraId="77E9F10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（1）严格实施主要污染物总量控制，采取有效措施，持续减少主要污染物排放总量，确保区域环境质量持续改善。</w:t>
                  </w:r>
                </w:p>
                <w:p w14:paraId="7B7973B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sdt>
                    <w:sdtPr>
                      <w:rPr>
                        <w:color w:val="auto"/>
                      </w:rPr>
                      <w:alias w:val="字词错误"/>
                      <w:tag w:val="reviewtag_FF0000"/>
                      <w:id w:val="3033516"/>
                    </w:sdtPr>
                    <w:sdtEndPr>
                      <w:rPr>
                        <w:color w:val="auto"/>
                      </w:rPr>
                    </w:sdtEndPr>
                    <w:sdtContent>
                      <w:bookmarkStart w:id="65" w:name="bkReivew3033516"/>
                      <w:r>
                        <w:rPr>
                          <w:rFonts w:hint="default" w:ascii="Times New Roman" w:hAnsi="Times New Roman" w:eastAsia="宋体" w:cs="Times New Roman"/>
                          <w:i w:val="0"/>
                          <w:iCs w:val="0"/>
                          <w:color w:val="auto"/>
                          <w:kern w:val="0"/>
                          <w:sz w:val="21"/>
                          <w:szCs w:val="21"/>
                          <w:highlight w:val="none"/>
                          <w:u w:val="none"/>
                          <w:lang w:val="en-US" w:eastAsia="zh-CN" w:bidi="ar"/>
                        </w:rPr>
                        <w:t>加强</w:t>
                      </w:r>
                      <w:bookmarkEnd w:id="65"/>
                    </w:sdtContent>
                  </w:sdt>
                  <w:r>
                    <w:rPr>
                      <w:rFonts w:hint="default" w:ascii="Times New Roman" w:hAnsi="Times New Roman" w:eastAsia="宋体" w:cs="Times New Roman"/>
                      <w:i w:val="0"/>
                      <w:iCs w:val="0"/>
                      <w:color w:val="auto"/>
                      <w:kern w:val="0"/>
                      <w:sz w:val="21"/>
                      <w:szCs w:val="21"/>
                      <w:highlight w:val="none"/>
                      <w:u w:val="none"/>
                      <w:lang w:val="en-US" w:eastAsia="zh-CN" w:bidi="ar"/>
                    </w:rPr>
                    <w:t>企业清洁生产水平，减少HCl、非甲烷总烃、二甲苯、硫酸雾等特征污染物排放。</w:t>
                  </w:r>
                </w:p>
              </w:tc>
              <w:tc>
                <w:tcPr>
                  <w:tcW w:w="1273" w:type="pct"/>
                  <w:tcBorders>
                    <w:tl2br w:val="nil"/>
                    <w:tr2bl w:val="nil"/>
                  </w:tcBorders>
                  <w:noWrap w:val="0"/>
                  <w:vAlign w:val="center"/>
                </w:tcPr>
                <w:p w14:paraId="7F316672">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lang w:val="zh-CN"/>
                    </w:rPr>
                    <w:t>本</w:t>
                  </w:r>
                  <w:r>
                    <w:rPr>
                      <w:rFonts w:hint="default" w:ascii="Times New Roman" w:hAnsi="Times New Roman" w:eastAsia="宋体"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lang w:val="zh-CN"/>
                    </w:rPr>
                    <w:t>废水、废气、噪声均采用有效处理措施处理后达标排放，各类固废均得到妥善处置，污染物排放量较小，对周边环境影响较小；项目污染物排放总量满足江宁区污染物总量管控要求。</w:t>
                  </w:r>
                </w:p>
              </w:tc>
              <w:tc>
                <w:tcPr>
                  <w:tcW w:w="423" w:type="pct"/>
                  <w:tcBorders>
                    <w:tl2br w:val="nil"/>
                    <w:tr2bl w:val="nil"/>
                  </w:tcBorders>
                  <w:noWrap w:val="0"/>
                  <w:vAlign w:val="center"/>
                </w:tcPr>
                <w:p w14:paraId="16B03B53">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r w14:paraId="2A723C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5" w:type="pct"/>
                  <w:vMerge w:val="continue"/>
                  <w:tcBorders>
                    <w:tl2br w:val="nil"/>
                    <w:tr2bl w:val="nil"/>
                  </w:tcBorders>
                  <w:noWrap w:val="0"/>
                  <w:vAlign w:val="center"/>
                </w:tcPr>
                <w:p w14:paraId="0A74BBA7">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56" w:type="pct"/>
                  <w:tcBorders>
                    <w:tl2br w:val="nil"/>
                    <w:tr2bl w:val="nil"/>
                  </w:tcBorders>
                  <w:noWrap w:val="0"/>
                  <w:vAlign w:val="center"/>
                </w:tcPr>
                <w:p w14:paraId="375094D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环境风险防控</w:t>
                  </w:r>
                </w:p>
              </w:tc>
              <w:tc>
                <w:tcPr>
                  <w:tcW w:w="2471" w:type="pct"/>
                  <w:tcBorders>
                    <w:tl2br w:val="nil"/>
                    <w:tr2bl w:val="nil"/>
                  </w:tcBorders>
                  <w:noWrap w:val="0"/>
                  <w:vAlign w:val="center"/>
                </w:tcPr>
                <w:p w14:paraId="754E569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（1）完善突发环境事件风险防控措施，排查治理环境安全隐患，加强环境应急能力</w:t>
                  </w:r>
                  <w:sdt>
                    <w:sdtPr>
                      <w:rPr>
                        <w:color w:val="auto"/>
                        <w:highlight w:val="none"/>
                      </w:rPr>
                      <w:alias w:val="语法错误"/>
                      <w:tag w:val="reviewtag_0000FF"/>
                      <w:id w:val="171602"/>
                    </w:sdtPr>
                    <w:sdtEndPr>
                      <w:rPr>
                        <w:color w:val="auto"/>
                        <w:highlight w:val="none"/>
                      </w:rPr>
                    </w:sdtEndPr>
                    <w:sdtContent>
                      <w:bookmarkStart w:id="66" w:name="bkReivew171602"/>
                      <w:r>
                        <w:rPr>
                          <w:rFonts w:hint="default" w:ascii="Times New Roman" w:hAnsi="Times New Roman" w:eastAsia="宋体" w:cs="Times New Roman"/>
                          <w:i w:val="0"/>
                          <w:iCs w:val="0"/>
                          <w:color w:val="auto"/>
                          <w:kern w:val="0"/>
                          <w:sz w:val="21"/>
                          <w:szCs w:val="21"/>
                          <w:highlight w:val="none"/>
                          <w:u w:val="none"/>
                          <w:lang w:val="en-US" w:eastAsia="zh-CN" w:bidi="ar"/>
                        </w:rPr>
                        <w:t>保障</w:t>
                      </w:r>
                      <w:bookmarkEnd w:id="66"/>
                    </w:sdtContent>
                  </w:sdt>
                  <w:r>
                    <w:rPr>
                      <w:rFonts w:hint="default" w:ascii="Times New Roman" w:hAnsi="Times New Roman" w:eastAsia="宋体" w:cs="Times New Roman"/>
                      <w:i w:val="0"/>
                      <w:iCs w:val="0"/>
                      <w:color w:val="auto"/>
                      <w:kern w:val="0"/>
                      <w:sz w:val="21"/>
                      <w:szCs w:val="21"/>
                      <w:highlight w:val="none"/>
                      <w:u w:val="none"/>
                      <w:lang w:val="en-US" w:eastAsia="zh-CN" w:bidi="ar"/>
                    </w:rPr>
                    <w:t>建设。</w:t>
                  </w:r>
                </w:p>
                <w:p w14:paraId="245B5FD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（2）生产、使用、储存危险化学品或其他存在环境风险的企事业单位，制定风险防范措施，编制完善突发环境事件应急预案。</w:t>
                  </w:r>
                </w:p>
                <w:p w14:paraId="5D61CFC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（3）按照相关管理要求申报、处置废弃危险化学品。</w:t>
                  </w:r>
                  <w:bookmarkStart w:id="67" w:name="sys3252438"/>
                  <w:r>
                    <w:rPr>
                      <w:rFonts w:hint="default" w:ascii="Times New Roman" w:hAnsi="Times New Roman" w:eastAsia="宋体" w:cs="Times New Roman"/>
                      <w:i w:val="0"/>
                      <w:iCs w:val="0"/>
                      <w:color w:val="auto"/>
                      <w:kern w:val="0"/>
                      <w:sz w:val="21"/>
                      <w:szCs w:val="21"/>
                      <w:highlight w:val="none"/>
                      <w:u w:val="none"/>
                      <w:lang w:val="en-US" w:eastAsia="zh-CN" w:bidi="ar"/>
                    </w:rPr>
                    <w:t>强化对危险废物的收集、贮存和处置的监督管理，实现危险废物监管无盲区、无死角。</w:t>
                  </w:r>
                  <w:bookmarkEnd w:id="67"/>
                </w:p>
                <w:p w14:paraId="45C10DA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68" w:name="sys326050"/>
                  <w:r>
                    <w:rPr>
                      <w:rFonts w:hint="default" w:ascii="Times New Roman" w:hAnsi="Times New Roman" w:eastAsia="宋体" w:cs="Times New Roman"/>
                      <w:i w:val="0"/>
                      <w:iCs w:val="0"/>
                      <w:color w:val="auto"/>
                      <w:kern w:val="0"/>
                      <w:sz w:val="21"/>
                      <w:szCs w:val="21"/>
                      <w:highlight w:val="none"/>
                      <w:u w:val="none"/>
                      <w:lang w:val="en-US" w:eastAsia="zh-CN" w:bidi="ar"/>
                    </w:rPr>
                    <w:t>（4）加强环境影响跟踪监测，建立健全各环境要素监控体系，完善并落实园区日常环境监测与污染源监控计划。</w:t>
                  </w:r>
                  <w:bookmarkEnd w:id="68"/>
                </w:p>
              </w:tc>
              <w:tc>
                <w:tcPr>
                  <w:tcW w:w="1273" w:type="pct"/>
                  <w:tcBorders>
                    <w:tl2br w:val="nil"/>
                    <w:tr2bl w:val="nil"/>
                  </w:tcBorders>
                  <w:noWrap w:val="0"/>
                  <w:vAlign w:val="center"/>
                </w:tcPr>
                <w:p w14:paraId="458979E7">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sz w:val="21"/>
                      <w:szCs w:val="21"/>
                      <w:highlight w:val="none"/>
                      <w:lang w:val="zh-CN"/>
                    </w:rPr>
                  </w:pPr>
                  <w:r>
                    <w:rPr>
                      <w:rFonts w:hint="default" w:ascii="Times New Roman" w:hAnsi="Times New Roman" w:eastAsia="宋体" w:cs="Times New Roman"/>
                      <w:color w:val="auto"/>
                      <w:sz w:val="21"/>
                      <w:szCs w:val="21"/>
                      <w:highlight w:val="none"/>
                      <w:lang w:val="zh-CN"/>
                    </w:rPr>
                    <w:t>本项目实施后，建设单位拟制定风险防范措施，完善应急措施并组建应急管理队伍。</w:t>
                  </w:r>
                </w:p>
                <w:p w14:paraId="43F7EBFA">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color w:val="auto"/>
                      <w:sz w:val="21"/>
                      <w:szCs w:val="21"/>
                      <w:highlight w:val="none"/>
                      <w:lang w:val="zh-CN"/>
                    </w:rPr>
                    <w:t>企业</w:t>
                  </w:r>
                  <w:r>
                    <w:rPr>
                      <w:rFonts w:hint="default" w:ascii="Times New Roman" w:hAnsi="Times New Roman" w:eastAsia="宋体" w:cs="Times New Roman"/>
                      <w:color w:val="auto"/>
                      <w:sz w:val="21"/>
                      <w:szCs w:val="21"/>
                      <w:highlight w:val="none"/>
                      <w:lang w:val="en-US" w:eastAsia="zh-CN"/>
                    </w:rPr>
                    <w:t>将</w:t>
                  </w:r>
                  <w:r>
                    <w:rPr>
                      <w:rFonts w:hint="default" w:ascii="Times New Roman" w:hAnsi="Times New Roman" w:eastAsia="宋体" w:cs="Times New Roman"/>
                      <w:color w:val="auto"/>
                      <w:sz w:val="21"/>
                      <w:szCs w:val="21"/>
                      <w:highlight w:val="none"/>
                      <w:lang w:val="zh-CN"/>
                    </w:rPr>
                    <w:t>按要求设置危废库，规划贮存管理。</w:t>
                  </w:r>
                </w:p>
                <w:p w14:paraId="0BA4EEC0">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本项目实施后，企业将落实排污自行监测计划。</w:t>
                  </w:r>
                </w:p>
              </w:tc>
              <w:tc>
                <w:tcPr>
                  <w:tcW w:w="423" w:type="pct"/>
                  <w:tcBorders>
                    <w:tl2br w:val="nil"/>
                    <w:tr2bl w:val="nil"/>
                  </w:tcBorders>
                  <w:noWrap w:val="0"/>
                  <w:vAlign w:val="center"/>
                </w:tcPr>
                <w:p w14:paraId="626FDCBE">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eastAsia"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r w14:paraId="0E9E01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75" w:type="pct"/>
                  <w:vMerge w:val="continue"/>
                  <w:tcBorders>
                    <w:tl2br w:val="nil"/>
                    <w:tr2bl w:val="nil"/>
                  </w:tcBorders>
                  <w:noWrap w:val="0"/>
                  <w:vAlign w:val="center"/>
                </w:tcPr>
                <w:p w14:paraId="0F717A14">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rPr>
                  </w:pPr>
                </w:p>
              </w:tc>
              <w:tc>
                <w:tcPr>
                  <w:tcW w:w="256" w:type="pct"/>
                  <w:tcBorders>
                    <w:tl2br w:val="nil"/>
                    <w:tr2bl w:val="nil"/>
                  </w:tcBorders>
                  <w:noWrap w:val="0"/>
                  <w:vAlign w:val="center"/>
                </w:tcPr>
                <w:p w14:paraId="38A915A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资源利用效率要求</w:t>
                  </w:r>
                </w:p>
              </w:tc>
              <w:tc>
                <w:tcPr>
                  <w:tcW w:w="2471" w:type="pct"/>
                  <w:tcBorders>
                    <w:tl2br w:val="nil"/>
                    <w:tr2bl w:val="nil"/>
                  </w:tcBorders>
                  <w:noWrap w:val="0"/>
                  <w:vAlign w:val="center"/>
                </w:tcPr>
                <w:p w14:paraId="58C83BC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（1）引进项目的生产工艺、设备、能耗、污染物排放、资源利用等达到同行业先进水平。</w:t>
                  </w:r>
                </w:p>
                <w:p w14:paraId="15F2FE5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（2）执行国家和省能耗及水耗限额标准。</w:t>
                  </w:r>
                </w:p>
                <w:p w14:paraId="325725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bookmarkStart w:id="69" w:name="sys335041"/>
                  <w:r>
                    <w:rPr>
                      <w:rFonts w:hint="default" w:ascii="Times New Roman" w:hAnsi="Times New Roman" w:eastAsia="宋体" w:cs="Times New Roman"/>
                      <w:i w:val="0"/>
                      <w:iCs w:val="0"/>
                      <w:color w:val="auto"/>
                      <w:kern w:val="0"/>
                      <w:sz w:val="21"/>
                      <w:szCs w:val="21"/>
                      <w:highlight w:val="none"/>
                      <w:u w:val="none"/>
                      <w:lang w:val="en-US" w:eastAsia="zh-CN" w:bidi="ar"/>
                    </w:rPr>
                    <w:t>（3）强化企业清洁生产改造，推进节水型企业、节水型园区建设，提高资源能源利用效率。</w:t>
                  </w:r>
                  <w:bookmarkEnd w:id="69"/>
                </w:p>
                <w:p w14:paraId="5129455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（4）禁止新建、改扩建采用高污染燃料的项目和设施。</w:t>
                  </w:r>
                </w:p>
              </w:tc>
              <w:tc>
                <w:tcPr>
                  <w:tcW w:w="1273" w:type="pct"/>
                  <w:tcBorders>
                    <w:tl2br w:val="nil"/>
                    <w:tr2bl w:val="nil"/>
                  </w:tcBorders>
                  <w:noWrap w:val="0"/>
                  <w:vAlign w:val="center"/>
                </w:tcPr>
                <w:p w14:paraId="174060D9">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本项目生产工艺、设备、能耗、污染物排放、资源利用等均能达到同行业先进水平，项目将严格按照国家和省能耗及水耗限额标准执行，企业将强化清洁生产理念，提高资源能源利用效率。</w:t>
                  </w:r>
                </w:p>
                <w:p w14:paraId="058389E6">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本项目不涉及高污染燃料。</w:t>
                  </w:r>
                </w:p>
              </w:tc>
              <w:tc>
                <w:tcPr>
                  <w:tcW w:w="423" w:type="pct"/>
                  <w:tcBorders>
                    <w:tl2br w:val="nil"/>
                    <w:tr2bl w:val="nil"/>
                  </w:tcBorders>
                  <w:noWrap/>
                  <w:vAlign w:val="center"/>
                </w:tcPr>
                <w:p w14:paraId="37FA6F46">
                  <w:pPr>
                    <w:keepNext w:val="0"/>
                    <w:keepLines w:val="0"/>
                    <w:pageBreakBefore w:val="0"/>
                    <w:widowControl/>
                    <w:kinsoku/>
                    <w:wordWrap/>
                    <w:overflowPunct/>
                    <w:topLinePunct w:val="0"/>
                    <w:autoSpaceDE/>
                    <w:autoSpaceDN/>
                    <w:bidi w:val="0"/>
                    <w:adjustRightInd/>
                    <w:snapToGrid/>
                    <w:spacing w:after="0" w:line="240" w:lineRule="exact"/>
                    <w:ind w:firstLine="0" w:firstLineChars="0"/>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符合</w:t>
                  </w:r>
                </w:p>
              </w:tc>
            </w:tr>
          </w:tbl>
          <w:p w14:paraId="36A321B5">
            <w:pPr>
              <w:bidi w:val="0"/>
              <w:rPr>
                <w:rFonts w:hint="eastAsia"/>
                <w:color w:val="auto"/>
                <w:highlight w:val="none"/>
                <w:lang w:eastAsia="zh-CN"/>
              </w:rPr>
            </w:pPr>
            <w:r>
              <w:rPr>
                <w:rFonts w:hint="eastAsia"/>
                <w:color w:val="auto"/>
                <w:highlight w:val="none"/>
              </w:rPr>
              <w:t>综上，本项目符合《南京市生态环境分区管控实施方案》（202</w:t>
            </w:r>
            <w:r>
              <w:rPr>
                <w:rFonts w:hint="eastAsia"/>
                <w:color w:val="auto"/>
                <w:highlight w:val="none"/>
                <w:lang w:val="en-US" w:eastAsia="zh-CN"/>
              </w:rPr>
              <w:t>4</w:t>
            </w:r>
            <w:r>
              <w:rPr>
                <w:rFonts w:hint="eastAsia"/>
                <w:color w:val="auto"/>
                <w:highlight w:val="none"/>
              </w:rPr>
              <w:t>年更新版）的要求</w:t>
            </w:r>
            <w:r>
              <w:rPr>
                <w:rFonts w:hint="eastAsia"/>
                <w:color w:val="auto"/>
                <w:highlight w:val="none"/>
                <w:lang w:eastAsia="zh-CN"/>
              </w:rPr>
              <w:t>。</w:t>
            </w:r>
          </w:p>
          <w:p w14:paraId="48FD72F7">
            <w:pPr>
              <w:bidi w:val="0"/>
              <w:rPr>
                <w:color w:val="auto"/>
                <w:highlight w:val="none"/>
              </w:rPr>
            </w:pPr>
          </w:p>
          <w:p w14:paraId="5A83469F">
            <w:pPr>
              <w:bidi w:val="0"/>
              <w:rPr>
                <w:color w:val="auto"/>
                <w:highlight w:val="none"/>
              </w:rPr>
            </w:pPr>
          </w:p>
          <w:p w14:paraId="4B22EC73">
            <w:pPr>
              <w:rPr>
                <w:color w:val="auto"/>
                <w:highlight w:val="none"/>
                <w:vertAlign w:val="baseline"/>
              </w:rPr>
            </w:pPr>
          </w:p>
          <w:p w14:paraId="3B9163D9">
            <w:pPr>
              <w:rPr>
                <w:color w:val="auto"/>
                <w:highlight w:val="none"/>
                <w:vertAlign w:val="baseline"/>
              </w:rPr>
            </w:pPr>
          </w:p>
          <w:p w14:paraId="59093E18">
            <w:pPr>
              <w:rPr>
                <w:color w:val="auto"/>
                <w:highlight w:val="none"/>
                <w:vertAlign w:val="baseline"/>
              </w:rPr>
            </w:pPr>
          </w:p>
          <w:p w14:paraId="6B231177">
            <w:pPr>
              <w:rPr>
                <w:color w:val="auto"/>
                <w:highlight w:val="none"/>
                <w:vertAlign w:val="baseline"/>
              </w:rPr>
            </w:pPr>
          </w:p>
          <w:p w14:paraId="64CC806A">
            <w:pPr>
              <w:rPr>
                <w:color w:val="auto"/>
                <w:highlight w:val="none"/>
                <w:vertAlign w:val="baseline"/>
              </w:rPr>
            </w:pPr>
          </w:p>
          <w:p w14:paraId="00E26FF4">
            <w:pPr>
              <w:rPr>
                <w:color w:val="auto"/>
                <w:highlight w:val="none"/>
                <w:vertAlign w:val="baseline"/>
              </w:rPr>
            </w:pPr>
          </w:p>
          <w:p w14:paraId="715C349F">
            <w:pPr>
              <w:rPr>
                <w:color w:val="auto"/>
                <w:highlight w:val="none"/>
                <w:vertAlign w:val="baseline"/>
              </w:rPr>
            </w:pPr>
          </w:p>
          <w:p w14:paraId="0A778787">
            <w:pPr>
              <w:rPr>
                <w:color w:val="auto"/>
                <w:highlight w:val="none"/>
                <w:vertAlign w:val="baseline"/>
              </w:rPr>
            </w:pPr>
          </w:p>
          <w:p w14:paraId="57290AD3">
            <w:pPr>
              <w:rPr>
                <w:color w:val="auto"/>
                <w:highlight w:val="none"/>
                <w:vertAlign w:val="baseline"/>
              </w:rPr>
            </w:pPr>
          </w:p>
        </w:tc>
      </w:tr>
    </w:tbl>
    <w:p w14:paraId="3766C603">
      <w:pPr>
        <w:ind w:firstLine="480"/>
        <w:rPr>
          <w:color w:val="auto"/>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fmt="decimal"/>
          <w:cols w:space="0" w:num="1"/>
          <w:rtlGutter w:val="0"/>
          <w:docGrid w:linePitch="312" w:charSpace="0"/>
        </w:sectPr>
      </w:pPr>
      <w:bookmarkStart w:id="70" w:name="pindex352"/>
      <w:bookmarkEnd w:id="70"/>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
        <w:gridCol w:w="13065"/>
      </w:tblGrid>
      <w:tr w14:paraId="3AFA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4" w:hRule="atLeast"/>
        </w:trPr>
        <w:tc>
          <w:tcPr>
            <w:tcW w:w="361" w:type="dxa"/>
            <w:vAlign w:val="center"/>
          </w:tcPr>
          <w:p w14:paraId="6BC99F8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宋体"/>
                <w:color w:val="auto"/>
                <w:highlight w:val="none"/>
                <w:vertAlign w:val="baseline"/>
                <w:lang w:eastAsia="zh-CN"/>
              </w:rPr>
            </w:pPr>
            <w:r>
              <w:rPr>
                <w:b/>
                <w:bCs/>
                <w:color w:val="auto"/>
                <w:kern w:val="0"/>
                <w:szCs w:val="21"/>
              </w:rPr>
              <w:t>其他符合性分析</w:t>
            </w:r>
          </w:p>
        </w:tc>
        <w:tc>
          <w:tcPr>
            <w:tcW w:w="13065" w:type="dxa"/>
          </w:tcPr>
          <w:p w14:paraId="02AF8BDD">
            <w:pPr>
              <w:ind w:firstLine="482"/>
              <w:rPr>
                <w:b/>
                <w:bCs/>
                <w:color w:val="auto"/>
                <w:highlight w:val="none"/>
              </w:rPr>
            </w:pPr>
            <w:r>
              <w:rPr>
                <w:rFonts w:hint="eastAsia"/>
                <w:b/>
                <w:bCs/>
                <w:color w:val="auto"/>
                <w:highlight w:val="none"/>
                <w:lang w:val="en-US" w:eastAsia="zh-CN"/>
              </w:rPr>
              <w:t>6.</w:t>
            </w:r>
            <w:r>
              <w:rPr>
                <w:b/>
                <w:bCs/>
                <w:color w:val="auto"/>
                <w:highlight w:val="none"/>
              </w:rPr>
              <w:t>环保政策相符性分析</w:t>
            </w:r>
          </w:p>
          <w:p w14:paraId="081E17A6">
            <w:pPr>
              <w:ind w:firstLine="480"/>
              <w:rPr>
                <w:color w:val="auto"/>
                <w:highlight w:val="none"/>
              </w:rPr>
            </w:pPr>
            <w:r>
              <w:rPr>
                <w:color w:val="auto"/>
                <w:highlight w:val="none"/>
              </w:rPr>
              <w:t>本项目与环保政策</w:t>
            </w:r>
            <w:sdt>
              <w:sdtPr>
                <w:rPr>
                  <w:color w:val="auto"/>
                </w:rPr>
                <w:alias w:val="语法错误"/>
                <w:tag w:val="reviewtag_FF0000"/>
                <w:id w:val="2062544"/>
              </w:sdtPr>
              <w:sdtEndPr>
                <w:rPr>
                  <w:color w:val="auto"/>
                </w:rPr>
              </w:sdtEndPr>
              <w:sdtContent>
                <w:bookmarkStart w:id="71" w:name="bkReivew2062544"/>
                <w:r>
                  <w:rPr>
                    <w:color w:val="auto"/>
                    <w:highlight w:val="none"/>
                  </w:rPr>
                  <w:t>相符</w:t>
                </w:r>
                <w:bookmarkEnd w:id="71"/>
              </w:sdtContent>
            </w:sdt>
            <w:r>
              <w:rPr>
                <w:color w:val="auto"/>
                <w:highlight w:val="none"/>
              </w:rPr>
              <w:t>性</w:t>
            </w:r>
            <w:r>
              <w:rPr>
                <w:rFonts w:hint="eastAsia"/>
                <w:color w:val="auto"/>
                <w:highlight w:val="none"/>
                <w:lang w:val="en-US" w:eastAsia="zh-CN"/>
              </w:rPr>
              <w:t>分析见下</w:t>
            </w:r>
            <w:r>
              <w:rPr>
                <w:color w:val="auto"/>
                <w:highlight w:val="none"/>
              </w:rPr>
              <w:t>表：</w:t>
            </w:r>
          </w:p>
          <w:p w14:paraId="369E425D">
            <w:pPr>
              <w:pStyle w:val="49"/>
              <w:ind w:firstLine="482"/>
              <w:rPr>
                <w:color w:val="auto"/>
                <w:highlight w:val="none"/>
              </w:rPr>
            </w:pPr>
            <w:r>
              <w:rPr>
                <w:color w:val="auto"/>
                <w:highlight w:val="none"/>
              </w:rPr>
              <w:t>环保政策相符性分析</w:t>
            </w:r>
          </w:p>
          <w:tbl>
            <w:tblPr>
              <w:tblStyle w:val="33"/>
              <w:tblW w:w="1290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12"/>
              <w:gridCol w:w="7410"/>
              <w:gridCol w:w="2534"/>
              <w:gridCol w:w="950"/>
            </w:tblGrid>
            <w:tr w14:paraId="237D6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19FA221A">
                  <w:pPr>
                    <w:pStyle w:val="48"/>
                    <w:rPr>
                      <w:b/>
                      <w:bCs/>
                      <w:color w:val="auto"/>
                      <w:highlight w:val="none"/>
                    </w:rPr>
                  </w:pPr>
                  <w:r>
                    <w:rPr>
                      <w:rFonts w:hint="eastAsia"/>
                      <w:b/>
                      <w:bCs/>
                      <w:color w:val="auto"/>
                      <w:highlight w:val="none"/>
                    </w:rPr>
                    <w:t>名称</w:t>
                  </w:r>
                </w:p>
              </w:tc>
              <w:tc>
                <w:tcPr>
                  <w:tcW w:w="2870" w:type="pct"/>
                  <w:vAlign w:val="center"/>
                </w:tcPr>
                <w:p w14:paraId="46259C51">
                  <w:pPr>
                    <w:pStyle w:val="48"/>
                    <w:rPr>
                      <w:b/>
                      <w:bCs/>
                      <w:color w:val="auto"/>
                      <w:highlight w:val="none"/>
                    </w:rPr>
                  </w:pPr>
                  <w:r>
                    <w:rPr>
                      <w:b/>
                      <w:bCs/>
                      <w:color w:val="auto"/>
                      <w:highlight w:val="none"/>
                    </w:rPr>
                    <w:t>内容及</w:t>
                  </w:r>
                  <w:r>
                    <w:rPr>
                      <w:rFonts w:hint="eastAsia"/>
                      <w:b/>
                      <w:bCs/>
                      <w:color w:val="auto"/>
                      <w:highlight w:val="none"/>
                    </w:rPr>
                    <w:t>要求</w:t>
                  </w:r>
                </w:p>
              </w:tc>
              <w:tc>
                <w:tcPr>
                  <w:tcW w:w="981" w:type="pct"/>
                  <w:vAlign w:val="center"/>
                </w:tcPr>
                <w:p w14:paraId="4258D6C4">
                  <w:pPr>
                    <w:pStyle w:val="48"/>
                    <w:rPr>
                      <w:b/>
                      <w:bCs/>
                      <w:color w:val="auto"/>
                      <w:highlight w:val="none"/>
                    </w:rPr>
                  </w:pPr>
                  <w:r>
                    <w:rPr>
                      <w:rFonts w:hint="eastAsia"/>
                      <w:b/>
                      <w:bCs/>
                      <w:color w:val="auto"/>
                      <w:highlight w:val="none"/>
                    </w:rPr>
                    <w:t>判定内容</w:t>
                  </w:r>
                </w:p>
              </w:tc>
              <w:tc>
                <w:tcPr>
                  <w:tcW w:w="368" w:type="pct"/>
                  <w:vAlign w:val="center"/>
                </w:tcPr>
                <w:p w14:paraId="249558C0">
                  <w:pPr>
                    <w:pStyle w:val="48"/>
                    <w:rPr>
                      <w:b/>
                      <w:bCs/>
                      <w:color w:val="auto"/>
                      <w:highlight w:val="none"/>
                    </w:rPr>
                  </w:pPr>
                  <w:r>
                    <w:rPr>
                      <w:rFonts w:hint="eastAsia"/>
                      <w:b/>
                      <w:bCs/>
                      <w:color w:val="auto"/>
                      <w:highlight w:val="none"/>
                    </w:rPr>
                    <w:t>相符性论证</w:t>
                  </w:r>
                </w:p>
              </w:tc>
            </w:tr>
            <w:tr w14:paraId="43690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779" w:type="pct"/>
                  <w:vAlign w:val="center"/>
                </w:tcPr>
                <w:p w14:paraId="05C20B34">
                  <w:pPr>
                    <w:pStyle w:val="48"/>
                    <w:rPr>
                      <w:color w:val="auto"/>
                      <w:highlight w:val="none"/>
                    </w:rPr>
                  </w:pPr>
                  <w:r>
                    <w:rPr>
                      <w:color w:val="auto"/>
                      <w:highlight w:val="none"/>
                      <w:lang w:val="zh-CN"/>
                    </w:rPr>
                    <w:t>《江苏省挥发性有机物污染防治管理办法》</w:t>
                  </w:r>
                  <w:r>
                    <w:rPr>
                      <w:color w:val="auto"/>
                      <w:highlight w:val="none"/>
                    </w:rPr>
                    <w:t>省政府令第199号</w:t>
                  </w:r>
                </w:p>
              </w:tc>
              <w:tc>
                <w:tcPr>
                  <w:tcW w:w="2870" w:type="pct"/>
                  <w:vAlign w:val="center"/>
                </w:tcPr>
                <w:p w14:paraId="148A48DB">
                  <w:pPr>
                    <w:pStyle w:val="48"/>
                    <w:rPr>
                      <w:color w:val="auto"/>
                      <w:highlight w:val="none"/>
                    </w:rPr>
                  </w:pPr>
                  <w:r>
                    <w:rPr>
                      <w:color w:val="auto"/>
                      <w:highlight w:val="none"/>
                      <w:lang w:val="zh-CN"/>
                    </w:rPr>
                    <w:t>根据管理办法第二十一条，产生挥发性有机物废气的生产经营活动应当在密闭空间或者密闭设备中进行。无法在密闭空间进行的生产经营活动应当采取有效措施，减少挥发性有机物排放。</w:t>
                  </w:r>
                </w:p>
              </w:tc>
              <w:tc>
                <w:tcPr>
                  <w:tcW w:w="981" w:type="pct"/>
                  <w:vAlign w:val="center"/>
                </w:tcPr>
                <w:p w14:paraId="2CB87B87">
                  <w:pPr>
                    <w:pStyle w:val="48"/>
                    <w:jc w:val="left"/>
                    <w:rPr>
                      <w:rFonts w:hint="eastAsia" w:eastAsia="宋体"/>
                      <w:color w:val="auto"/>
                      <w:highlight w:val="none"/>
                      <w:lang w:eastAsia="zh-CN"/>
                    </w:rPr>
                  </w:pPr>
                  <w:r>
                    <w:rPr>
                      <w:color w:val="auto"/>
                      <w:highlight w:val="none"/>
                    </w:rPr>
                    <w:t>本项目</w:t>
                  </w:r>
                  <w:r>
                    <w:rPr>
                      <w:rFonts w:hint="eastAsia"/>
                      <w:color w:val="auto"/>
                      <w:highlight w:val="none"/>
                    </w:rPr>
                    <w:t>运行过程中产生有机废气的工序</w:t>
                  </w:r>
                  <w:r>
                    <w:rPr>
                      <w:rFonts w:hint="eastAsia"/>
                      <w:color w:val="auto"/>
                      <w:highlight w:val="none"/>
                      <w:lang w:eastAsia="zh-CN"/>
                    </w:rPr>
                    <w:t>，废气</w:t>
                  </w:r>
                  <w:r>
                    <w:rPr>
                      <w:rFonts w:hint="eastAsia"/>
                      <w:color w:val="auto"/>
                      <w:highlight w:val="none"/>
                      <w:lang w:val="en-US" w:eastAsia="zh-CN"/>
                    </w:rPr>
                    <w:t>经车间</w:t>
                  </w:r>
                  <w:r>
                    <w:rPr>
                      <w:color w:val="auto"/>
                      <w:highlight w:val="none"/>
                      <w:lang w:val="zh-CN"/>
                    </w:rPr>
                    <w:t>密闭</w:t>
                  </w:r>
                  <w:r>
                    <w:rPr>
                      <w:rFonts w:hint="eastAsia"/>
                      <w:color w:val="auto"/>
                      <w:highlight w:val="none"/>
                      <w:lang w:val="en-US" w:eastAsia="zh-CN"/>
                    </w:rPr>
                    <w:t>收集，</w:t>
                  </w:r>
                  <w:r>
                    <w:rPr>
                      <w:color w:val="auto"/>
                      <w:highlight w:val="none"/>
                    </w:rPr>
                    <w:t>减少了挥发性有机物的排放</w:t>
                  </w:r>
                  <w:r>
                    <w:rPr>
                      <w:rFonts w:hint="eastAsia"/>
                      <w:color w:val="auto"/>
                      <w:highlight w:val="none"/>
                      <w:lang w:eastAsia="zh-CN"/>
                    </w:rPr>
                    <w:t>。</w:t>
                  </w:r>
                </w:p>
              </w:tc>
              <w:tc>
                <w:tcPr>
                  <w:tcW w:w="368" w:type="pct"/>
                  <w:vAlign w:val="center"/>
                </w:tcPr>
                <w:p w14:paraId="0C9844D6">
                  <w:pPr>
                    <w:pStyle w:val="48"/>
                    <w:rPr>
                      <w:color w:val="auto"/>
                      <w:highlight w:val="none"/>
                    </w:rPr>
                  </w:pPr>
                  <w:r>
                    <w:rPr>
                      <w:rFonts w:hint="eastAsia"/>
                      <w:color w:val="auto"/>
                      <w:highlight w:val="none"/>
                    </w:rPr>
                    <w:t>符合</w:t>
                  </w:r>
                </w:p>
              </w:tc>
            </w:tr>
            <w:tr w14:paraId="009566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779" w:type="pct"/>
                  <w:vAlign w:val="center"/>
                </w:tcPr>
                <w:p w14:paraId="1322B878">
                  <w:pPr>
                    <w:pStyle w:val="48"/>
                    <w:rPr>
                      <w:color w:val="auto"/>
                      <w:highlight w:val="none"/>
                    </w:rPr>
                  </w:pPr>
                  <w:r>
                    <w:rPr>
                      <w:color w:val="auto"/>
                      <w:highlight w:val="none"/>
                    </w:rPr>
                    <w:t>关于印发</w:t>
                  </w:r>
                  <w:r>
                    <w:rPr>
                      <w:color w:val="auto"/>
                      <w:highlight w:val="none"/>
                      <w:lang w:val="zh-CN"/>
                    </w:rPr>
                    <w:t>《江苏省重点行业挥发性有机物</w:t>
                  </w:r>
                  <w:r>
                    <w:rPr>
                      <w:color w:val="auto"/>
                      <w:highlight w:val="none"/>
                    </w:rPr>
                    <w:t>污染控制指南</w:t>
                  </w:r>
                  <w:r>
                    <w:rPr>
                      <w:color w:val="auto"/>
                      <w:highlight w:val="none"/>
                      <w:lang w:val="zh-CN"/>
                    </w:rPr>
                    <w:t>》</w:t>
                  </w:r>
                  <w:r>
                    <w:rPr>
                      <w:color w:val="auto"/>
                      <w:highlight w:val="none"/>
                    </w:rPr>
                    <w:t>的通知（苏环办</w:t>
                  </w:r>
                  <w:r>
                    <w:rPr>
                      <w:rFonts w:hint="eastAsia"/>
                      <w:color w:val="auto"/>
                      <w:highlight w:val="none"/>
                      <w:lang w:eastAsia="zh-CN"/>
                    </w:rPr>
                    <w:t>〔2014〕128号</w:t>
                  </w:r>
                  <w:r>
                    <w:rPr>
                      <w:color w:val="auto"/>
                      <w:highlight w:val="none"/>
                    </w:rPr>
                    <w:t>）</w:t>
                  </w:r>
                </w:p>
              </w:tc>
              <w:tc>
                <w:tcPr>
                  <w:tcW w:w="2870" w:type="pct"/>
                  <w:vAlign w:val="center"/>
                </w:tcPr>
                <w:p w14:paraId="5F732BFE">
                  <w:pPr>
                    <w:pStyle w:val="48"/>
                    <w:rPr>
                      <w:color w:val="auto"/>
                      <w:highlight w:val="none"/>
                    </w:rPr>
                  </w:pPr>
                  <w:r>
                    <w:rPr>
                      <w:color w:val="auto"/>
                      <w:highlight w:val="none"/>
                    </w:rPr>
                    <w:t>鼓励对排放的VOCs进行回收利用，并优先在生产系统内回用。对浓度、性状差异较大的废气应分类收集，并采用适宜的方式进行有效处理，确保VOCs总去除率满足管理要求，其中有机化工、医药化工、橡胶和塑料制品（有溶剂浸胶工艺）、溶剂型涂料表面涂装、包装印刷业的VOCs总收集、净化处理率均不低于90%，其他行业不低于75%。</w:t>
                  </w:r>
                </w:p>
              </w:tc>
              <w:tc>
                <w:tcPr>
                  <w:tcW w:w="981" w:type="pct"/>
                  <w:vAlign w:val="center"/>
                </w:tcPr>
                <w:p w14:paraId="11D20B88">
                  <w:pPr>
                    <w:pStyle w:val="48"/>
                    <w:jc w:val="left"/>
                    <w:rPr>
                      <w:rFonts w:hint="default" w:eastAsia="宋体"/>
                      <w:color w:val="auto"/>
                      <w:highlight w:val="none"/>
                      <w:lang w:val="en-US" w:eastAsia="zh-CN"/>
                    </w:rPr>
                  </w:pPr>
                  <w:r>
                    <w:rPr>
                      <w:rFonts w:hint="eastAsia"/>
                      <w:color w:val="auto"/>
                      <w:highlight w:val="none"/>
                      <w:lang w:val="en-US" w:eastAsia="zh-CN"/>
                    </w:rPr>
                    <w:t>本项目不属于</w:t>
                  </w:r>
                  <w:r>
                    <w:rPr>
                      <w:color w:val="auto"/>
                      <w:highlight w:val="none"/>
                    </w:rPr>
                    <w:t>有机化工、医药化工、橡胶和塑料制品（有溶剂浸胶工艺）、溶剂型涂料表面涂装、包装印刷业</w:t>
                  </w:r>
                  <w:r>
                    <w:rPr>
                      <w:rFonts w:hint="eastAsia"/>
                      <w:color w:val="auto"/>
                      <w:highlight w:val="none"/>
                      <w:lang w:eastAsia="zh-CN"/>
                    </w:rPr>
                    <w:t>。</w:t>
                  </w:r>
                  <w:r>
                    <w:rPr>
                      <w:rFonts w:hint="eastAsia"/>
                      <w:color w:val="auto"/>
                      <w:highlight w:val="none"/>
                      <w:lang w:val="en-US" w:eastAsia="zh-CN"/>
                    </w:rPr>
                    <w:t>本项目电池燃烧废气经收集后无组织排放。</w:t>
                  </w:r>
                </w:p>
              </w:tc>
              <w:tc>
                <w:tcPr>
                  <w:tcW w:w="368" w:type="pct"/>
                  <w:vAlign w:val="center"/>
                </w:tcPr>
                <w:p w14:paraId="283ABA05">
                  <w:pPr>
                    <w:pStyle w:val="48"/>
                    <w:rPr>
                      <w:color w:val="auto"/>
                      <w:highlight w:val="none"/>
                    </w:rPr>
                  </w:pPr>
                  <w:r>
                    <w:rPr>
                      <w:rFonts w:hint="eastAsia"/>
                      <w:color w:val="auto"/>
                      <w:highlight w:val="none"/>
                    </w:rPr>
                    <w:t>符合</w:t>
                  </w:r>
                </w:p>
              </w:tc>
            </w:tr>
            <w:tr w14:paraId="34B244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779" w:type="pct"/>
                  <w:vAlign w:val="center"/>
                </w:tcPr>
                <w:p w14:paraId="480B6138">
                  <w:pPr>
                    <w:pStyle w:val="48"/>
                    <w:rPr>
                      <w:rFonts w:hint="eastAsia" w:eastAsia="宋体"/>
                      <w:color w:val="auto"/>
                      <w:highlight w:val="none"/>
                      <w:lang w:eastAsia="zh-CN"/>
                    </w:rPr>
                  </w:pPr>
                  <w:r>
                    <w:rPr>
                      <w:rFonts w:hint="eastAsia"/>
                      <w:color w:val="auto"/>
                      <w:highlight w:val="none"/>
                    </w:rPr>
                    <w:t>省大气办关于印发《江苏省挥发性有机物清洁原料替代工作方案》的通知（苏大气办</w:t>
                  </w:r>
                  <w:r>
                    <w:rPr>
                      <w:rFonts w:hint="eastAsia"/>
                      <w:color w:val="auto"/>
                      <w:highlight w:val="none"/>
                      <w:lang w:eastAsia="zh-CN"/>
                    </w:rPr>
                    <w:t>〔2021〕2号）</w:t>
                  </w:r>
                </w:p>
              </w:tc>
              <w:tc>
                <w:tcPr>
                  <w:tcW w:w="2870" w:type="pct"/>
                  <w:vAlign w:val="center"/>
                </w:tcPr>
                <w:p w14:paraId="2834F89C">
                  <w:pPr>
                    <w:pStyle w:val="48"/>
                    <w:rPr>
                      <w:color w:val="auto"/>
                      <w:highlight w:val="none"/>
                    </w:rPr>
                  </w:pPr>
                  <w:r>
                    <w:rPr>
                      <w:rFonts w:hint="eastAsia"/>
                      <w:color w:val="auto"/>
                      <w:highlight w:val="none"/>
                    </w:rPr>
                    <w:t>工程机械整机制造和零部件加工企业。主要涉及喷漆、流平、烘干修补等产生VOCs生产工序的企业，使用的涂料、清洗剂、胶</w:t>
                  </w:r>
                  <w:sdt>
                    <w:sdtPr>
                      <w:rPr>
                        <w:color w:val="auto"/>
                      </w:rPr>
                      <w:alias w:val="字词错误"/>
                      <w:tag w:val="reviewtag_FF0000"/>
                      <w:id w:val="143010"/>
                    </w:sdtPr>
                    <w:sdtEndPr>
                      <w:rPr>
                        <w:color w:val="auto"/>
                      </w:rPr>
                    </w:sdtEndPr>
                    <w:sdtContent>
                      <w:bookmarkStart w:id="72" w:name="bkReivew143010"/>
                      <w:r>
                        <w:rPr>
                          <w:rFonts w:hint="eastAsia"/>
                          <w:color w:val="auto"/>
                          <w:highlight w:val="none"/>
                        </w:rPr>
                        <w:t>粘</w:t>
                      </w:r>
                      <w:bookmarkEnd w:id="72"/>
                    </w:sdtContent>
                  </w:sdt>
                  <w:r>
                    <w:rPr>
                      <w:rFonts w:hint="eastAsia"/>
                      <w:color w:val="auto"/>
                      <w:highlight w:val="none"/>
                    </w:rPr>
                    <w:t>剂等原辅材料均使用《低挥发性有机化合物含量涂料产品技术要求》（GB/T 38597-2020）规定的粉末、水性、无溶剂、辐射固化涂料产品；符合《清洗剂挥发性有机化合物含量限值》（GB 38508-2020）规定的水基、半水基清洗剂产品；符合《胶粘剂挥发性有机化合物限量》（GB33372-2020）规定的水基型、本体型胶粘剂产品。若确实无法达到上述要求，应提供相应的论证说明。</w:t>
                  </w:r>
                </w:p>
              </w:tc>
              <w:tc>
                <w:tcPr>
                  <w:tcW w:w="981" w:type="pct"/>
                  <w:vMerge w:val="restart"/>
                  <w:vAlign w:val="center"/>
                </w:tcPr>
                <w:p w14:paraId="692C4EB9">
                  <w:pPr>
                    <w:pStyle w:val="48"/>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rPr>
                      <w:rFonts w:hint="default" w:eastAsia="宋体"/>
                      <w:color w:val="auto"/>
                      <w:highlight w:val="none"/>
                      <w:lang w:val="en-US" w:eastAsia="zh-CN"/>
                    </w:rPr>
                  </w:pPr>
                  <w:r>
                    <w:rPr>
                      <w:rFonts w:hint="eastAsia"/>
                      <w:color w:val="auto"/>
                      <w:lang w:val="en-US" w:eastAsia="zh-CN"/>
                    </w:rPr>
                    <w:t>本项目不涉及涂料、清洗剂、胶粘剂等原辅材料使用。</w:t>
                  </w:r>
                </w:p>
              </w:tc>
              <w:tc>
                <w:tcPr>
                  <w:tcW w:w="368" w:type="pct"/>
                  <w:vAlign w:val="center"/>
                </w:tcPr>
                <w:p w14:paraId="6550E128">
                  <w:pPr>
                    <w:pStyle w:val="48"/>
                    <w:rPr>
                      <w:color w:val="auto"/>
                      <w:highlight w:val="none"/>
                    </w:rPr>
                  </w:pPr>
                  <w:r>
                    <w:rPr>
                      <w:rFonts w:hint="eastAsia"/>
                      <w:color w:val="auto"/>
                      <w:highlight w:val="none"/>
                    </w:rPr>
                    <w:t>符合</w:t>
                  </w:r>
                </w:p>
              </w:tc>
            </w:tr>
            <w:tr w14:paraId="55A468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779" w:type="pct"/>
                  <w:vAlign w:val="center"/>
                </w:tcPr>
                <w:p w14:paraId="0155C789">
                  <w:pPr>
                    <w:pStyle w:val="48"/>
                    <w:rPr>
                      <w:color w:val="auto"/>
                      <w:highlight w:val="none"/>
                      <w:lang w:val="zh-CN"/>
                    </w:rPr>
                  </w:pPr>
                  <w:r>
                    <w:rPr>
                      <w:color w:val="auto"/>
                      <w:highlight w:val="none"/>
                    </w:rPr>
                    <w:t>关于印发《重点行业挥发性有机物综合治理方案》的通知（环大气</w:t>
                  </w:r>
                  <w:r>
                    <w:rPr>
                      <w:rFonts w:hint="eastAsia"/>
                      <w:color w:val="auto"/>
                      <w:highlight w:val="none"/>
                      <w:lang w:eastAsia="zh-CN"/>
                    </w:rPr>
                    <w:t>〔2019〕53号</w:t>
                  </w:r>
                  <w:r>
                    <w:rPr>
                      <w:color w:val="auto"/>
                      <w:highlight w:val="none"/>
                    </w:rPr>
                    <w:t>）</w:t>
                  </w:r>
                </w:p>
              </w:tc>
              <w:tc>
                <w:tcPr>
                  <w:tcW w:w="2870" w:type="pct"/>
                  <w:vAlign w:val="center"/>
                </w:tcPr>
                <w:p w14:paraId="6CE563C6">
                  <w:pPr>
                    <w:pStyle w:val="48"/>
                    <w:rPr>
                      <w:color w:val="auto"/>
                      <w:highlight w:val="none"/>
                    </w:rPr>
                  </w:pPr>
                  <w:r>
                    <w:rPr>
                      <w:color w:val="auto"/>
                      <w:highlight w:val="none"/>
                    </w:rPr>
                    <w:t>大力推进源头替代</w:t>
                  </w:r>
                </w:p>
                <w:p w14:paraId="25A8672B">
                  <w:pPr>
                    <w:pStyle w:val="48"/>
                    <w:rPr>
                      <w:color w:val="auto"/>
                      <w:highlight w:val="none"/>
                    </w:rPr>
                  </w:pPr>
                  <w:r>
                    <w:rPr>
                      <w:color w:val="auto"/>
                      <w:highlight w:val="none"/>
                    </w:rPr>
                    <w:t>全面加强无组织排放控制</w:t>
                  </w:r>
                </w:p>
                <w:p w14:paraId="50F075AD">
                  <w:pPr>
                    <w:pStyle w:val="48"/>
                    <w:rPr>
                      <w:color w:val="auto"/>
                      <w:highlight w:val="none"/>
                    </w:rPr>
                  </w:pPr>
                  <w:r>
                    <w:rPr>
                      <w:color w:val="auto"/>
                      <w:highlight w:val="none"/>
                    </w:rPr>
                    <w:t>推进建设适宜高效的治污设施</w:t>
                  </w:r>
                </w:p>
                <w:p w14:paraId="1C7FCE8A">
                  <w:pPr>
                    <w:pStyle w:val="48"/>
                    <w:rPr>
                      <w:color w:val="auto"/>
                      <w:highlight w:val="none"/>
                    </w:rPr>
                  </w:pPr>
                  <w:r>
                    <w:rPr>
                      <w:color w:val="auto"/>
                      <w:highlight w:val="none"/>
                    </w:rPr>
                    <w:t>深入实施精细化管控</w:t>
                  </w:r>
                </w:p>
              </w:tc>
              <w:tc>
                <w:tcPr>
                  <w:tcW w:w="981" w:type="pct"/>
                  <w:vMerge w:val="continue"/>
                  <w:vAlign w:val="center"/>
                </w:tcPr>
                <w:p w14:paraId="76F14B5C">
                  <w:pPr>
                    <w:pStyle w:val="48"/>
                    <w:jc w:val="left"/>
                    <w:rPr>
                      <w:color w:val="auto"/>
                      <w:highlight w:val="none"/>
                    </w:rPr>
                  </w:pPr>
                </w:p>
              </w:tc>
              <w:tc>
                <w:tcPr>
                  <w:tcW w:w="368" w:type="pct"/>
                  <w:vAlign w:val="center"/>
                </w:tcPr>
                <w:p w14:paraId="61B96D84">
                  <w:pPr>
                    <w:pStyle w:val="48"/>
                    <w:rPr>
                      <w:color w:val="auto"/>
                      <w:highlight w:val="none"/>
                    </w:rPr>
                  </w:pPr>
                  <w:r>
                    <w:rPr>
                      <w:rFonts w:hint="eastAsia"/>
                      <w:color w:val="auto"/>
                      <w:highlight w:val="none"/>
                    </w:rPr>
                    <w:t>符合</w:t>
                  </w:r>
                </w:p>
              </w:tc>
            </w:tr>
            <w:tr w14:paraId="768CA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779" w:type="pct"/>
                  <w:vMerge w:val="restart"/>
                  <w:vAlign w:val="center"/>
                </w:tcPr>
                <w:p w14:paraId="7929A2CF">
                  <w:pPr>
                    <w:pStyle w:val="48"/>
                    <w:rPr>
                      <w:color w:val="auto"/>
                      <w:highlight w:val="none"/>
                    </w:rPr>
                  </w:pPr>
                  <w:r>
                    <w:rPr>
                      <w:color w:val="auto"/>
                      <w:highlight w:val="none"/>
                    </w:rPr>
                    <w:t>《关于进一步加强涉VOCs建设项目环评文件审批有关要求的通知》宁环办</w:t>
                  </w:r>
                  <w:r>
                    <w:rPr>
                      <w:rFonts w:hint="eastAsia"/>
                      <w:color w:val="auto"/>
                      <w:highlight w:val="none"/>
                      <w:lang w:eastAsia="zh-CN"/>
                    </w:rPr>
                    <w:t>〔2021〕28号</w:t>
                  </w:r>
                </w:p>
              </w:tc>
              <w:tc>
                <w:tcPr>
                  <w:tcW w:w="2870" w:type="pct"/>
                  <w:vAlign w:val="center"/>
                </w:tcPr>
                <w:p w14:paraId="5683E198">
                  <w:pPr>
                    <w:pStyle w:val="48"/>
                    <w:rPr>
                      <w:color w:val="auto"/>
                      <w:highlight w:val="none"/>
                    </w:rPr>
                  </w:pPr>
                  <w:r>
                    <w:rPr>
                      <w:color w:val="auto"/>
                      <w:highlight w:val="none"/>
                    </w:rPr>
                    <w:t>（一）严格标准审查</w:t>
                  </w:r>
                </w:p>
                <w:p w14:paraId="1161F2EB">
                  <w:pPr>
                    <w:pStyle w:val="48"/>
                    <w:rPr>
                      <w:color w:val="auto"/>
                      <w:highlight w:val="none"/>
                    </w:rPr>
                  </w:pPr>
                  <w:r>
                    <w:rPr>
                      <w:color w:val="auto"/>
                      <w:highlight w:val="none"/>
                    </w:rPr>
                    <w:t>环评审批部门按照审批权限，严格加强排放标准审查。有行业标准的，严格执行行业标准要求，无行业标准的，应执行国家、江苏省相关排放标准；VOCs无组织排放执行《挥发性有机物无组织排放控制标准》（GB37822-2019），并执行厂区内VOCs特别排放限值。</w:t>
                  </w:r>
                </w:p>
              </w:tc>
              <w:tc>
                <w:tcPr>
                  <w:tcW w:w="981" w:type="pct"/>
                  <w:vMerge w:val="restart"/>
                  <w:vAlign w:val="center"/>
                </w:tcPr>
                <w:p w14:paraId="4693B1B4">
                  <w:pPr>
                    <w:pStyle w:val="48"/>
                    <w:rPr>
                      <w:rFonts w:ascii="Times New Roman" w:hAnsi="Times New Roman" w:eastAsia="宋体" w:cs="Times New Roman"/>
                      <w:color w:val="auto"/>
                      <w:highlight w:val="none"/>
                    </w:rPr>
                  </w:pPr>
                  <w:r>
                    <w:rPr>
                      <w:rFonts w:ascii="Times New Roman" w:hAnsi="Times New Roman" w:eastAsia="宋体" w:cs="Times New Roman"/>
                      <w:color w:val="auto"/>
                      <w:highlight w:val="none"/>
                    </w:rPr>
                    <w:t>本项目产生的VOCs废气向江宁区申请总量</w:t>
                  </w:r>
                  <w:sdt>
                    <w:sdtPr>
                      <w:rPr>
                        <w:color w:val="auto"/>
                      </w:rPr>
                      <w:alias w:val="语法错误"/>
                      <w:tag w:val="reviewtag_FF0000"/>
                      <w:id w:val="3130132"/>
                    </w:sdtPr>
                    <w:sdtEndPr>
                      <w:rPr>
                        <w:color w:val="auto"/>
                      </w:rPr>
                    </w:sdtEndPr>
                    <w:sdtContent>
                      <w:bookmarkStart w:id="73" w:name="bkReivew3130132"/>
                      <w:r>
                        <w:rPr>
                          <w:rFonts w:hint="eastAsia" w:ascii="Times New Roman" w:hAnsi="Times New Roman" w:eastAsia="宋体" w:cs="Times New Roman"/>
                          <w:color w:val="auto"/>
                          <w:highlight w:val="none"/>
                        </w:rPr>
                        <w:t>，</w:t>
                      </w:r>
                      <w:bookmarkEnd w:id="73"/>
                    </w:sdtContent>
                  </w:sdt>
                  <w:r>
                    <w:rPr>
                      <w:rFonts w:hint="eastAsia" w:ascii="Times New Roman" w:hAnsi="Times New Roman" w:eastAsia="宋体" w:cs="Times New Roman"/>
                      <w:color w:val="auto"/>
                      <w:highlight w:val="none"/>
                    </w:rPr>
                    <w:t>已取得总量控制指标</w:t>
                  </w:r>
                  <w:r>
                    <w:rPr>
                      <w:rFonts w:ascii="Times New Roman" w:hAnsi="Times New Roman" w:eastAsia="宋体" w:cs="Times New Roman"/>
                      <w:color w:val="auto"/>
                      <w:highlight w:val="none"/>
                    </w:rPr>
                    <w:t>。</w:t>
                  </w:r>
                </w:p>
                <w:p w14:paraId="3503A76C">
                  <w:pPr>
                    <w:pStyle w:val="48"/>
                    <w:rPr>
                      <w:rFonts w:hint="eastAsia" w:ascii="Times New Roman" w:hAnsi="Times New Roman" w:eastAsia="宋体" w:cs="Times New Roman"/>
                      <w:color w:val="auto"/>
                      <w:highlight w:val="none"/>
                      <w:lang w:val="zh-CN"/>
                    </w:rPr>
                  </w:pPr>
                  <w:r>
                    <w:rPr>
                      <w:rFonts w:hint="eastAsia" w:cs="Times New Roman"/>
                      <w:color w:val="auto"/>
                      <w:highlight w:val="none"/>
                      <w:lang w:val="en-US" w:eastAsia="zh-CN"/>
                    </w:rPr>
                    <w:t>污染物</w:t>
                  </w:r>
                  <w:r>
                    <w:rPr>
                      <w:rFonts w:ascii="Times New Roman" w:hAnsi="Times New Roman" w:eastAsia="宋体" w:cs="Times New Roman"/>
                      <w:color w:val="auto"/>
                      <w:highlight w:val="none"/>
                    </w:rPr>
                    <w:t>排放</w:t>
                  </w:r>
                  <w:r>
                    <w:rPr>
                      <w:rFonts w:hint="eastAsia" w:cs="Times New Roman"/>
                      <w:color w:val="auto"/>
                      <w:highlight w:val="none"/>
                      <w:lang w:val="en-US" w:eastAsia="zh-CN"/>
                    </w:rPr>
                    <w:t>满足</w:t>
                  </w:r>
                  <w:r>
                    <w:rPr>
                      <w:rFonts w:ascii="Times New Roman" w:hAnsi="Times New Roman" w:eastAsia="宋体" w:cs="Times New Roman"/>
                      <w:color w:val="auto"/>
                      <w:highlight w:val="none"/>
                    </w:rPr>
                    <w:t>《大气污染物综合排放标准》（DB32/4041-2021</w:t>
                  </w:r>
                  <w:r>
                    <w:rPr>
                      <w:rFonts w:hint="eastAsia" w:cs="Times New Roman"/>
                      <w:color w:val="auto"/>
                      <w:highlight w:val="none"/>
                      <w:lang w:eastAsia="zh-CN"/>
                    </w:rPr>
                    <w:t>）</w:t>
                  </w:r>
                  <w:r>
                    <w:rPr>
                      <w:rFonts w:ascii="Times New Roman" w:hAnsi="Times New Roman" w:eastAsia="宋体" w:cs="Times New Roman"/>
                      <w:color w:val="auto"/>
                      <w:highlight w:val="none"/>
                    </w:rPr>
                    <w:t>的规定。</w:t>
                  </w:r>
                </w:p>
              </w:tc>
              <w:tc>
                <w:tcPr>
                  <w:tcW w:w="368" w:type="pct"/>
                  <w:vAlign w:val="center"/>
                </w:tcPr>
                <w:p w14:paraId="2500165F">
                  <w:pPr>
                    <w:pStyle w:val="48"/>
                    <w:rPr>
                      <w:color w:val="auto"/>
                      <w:highlight w:val="none"/>
                    </w:rPr>
                  </w:pPr>
                  <w:r>
                    <w:rPr>
                      <w:rFonts w:hint="eastAsia"/>
                      <w:color w:val="auto"/>
                      <w:highlight w:val="none"/>
                    </w:rPr>
                    <w:t>符合</w:t>
                  </w:r>
                </w:p>
              </w:tc>
            </w:tr>
            <w:tr w14:paraId="3A74EE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779" w:type="pct"/>
                  <w:vMerge w:val="continue"/>
                  <w:vAlign w:val="center"/>
                </w:tcPr>
                <w:p w14:paraId="43835FAE">
                  <w:pPr>
                    <w:pStyle w:val="48"/>
                    <w:rPr>
                      <w:color w:val="auto"/>
                      <w:highlight w:val="none"/>
                    </w:rPr>
                  </w:pPr>
                </w:p>
              </w:tc>
              <w:tc>
                <w:tcPr>
                  <w:tcW w:w="2870" w:type="pct"/>
                  <w:vAlign w:val="center"/>
                </w:tcPr>
                <w:p w14:paraId="61310CEF">
                  <w:pPr>
                    <w:pStyle w:val="48"/>
                    <w:rPr>
                      <w:color w:val="auto"/>
                      <w:highlight w:val="none"/>
                    </w:rPr>
                  </w:pPr>
                  <w:r>
                    <w:rPr>
                      <w:color w:val="auto"/>
                      <w:highlight w:val="none"/>
                    </w:rPr>
                    <w:t>（二）严格总量审查</w:t>
                  </w:r>
                </w:p>
                <w:p w14:paraId="0909C165">
                  <w:pPr>
                    <w:pStyle w:val="48"/>
                    <w:rPr>
                      <w:color w:val="auto"/>
                      <w:highlight w:val="none"/>
                    </w:rPr>
                  </w:pPr>
                  <w:r>
                    <w:rPr>
                      <w:color w:val="auto"/>
                      <w:highlight w:val="none"/>
                    </w:rPr>
                    <w:t>市生态环境局、各派出局总量管理部门严格排放总量审查（含各行政审批局负责审批的建设项目）。VOCs排放量优先采用国家大气源清单统计数据。</w:t>
                  </w:r>
                  <w:r>
                    <w:rPr>
                      <w:rFonts w:hint="eastAsia"/>
                      <w:color w:val="auto"/>
                      <w:highlight w:val="none"/>
                      <w:lang w:eastAsia="zh-CN"/>
                    </w:rPr>
                    <w:t>涉及</w:t>
                  </w:r>
                  <w:r>
                    <w:rPr>
                      <w:color w:val="auto"/>
                      <w:highlight w:val="none"/>
                    </w:rPr>
                    <w:t>新增VOCs排放（含有组织、无组织排放）的建设项目，在环评文件审批前应取得排放总量指标，并实施2倍削减替代。对未完成VOCs总量减排任务的区（园区），暂缓其涉新增VOCs排放的建设项目审批。具体按照我市相关总量管理要求执行。</w:t>
                  </w:r>
                </w:p>
              </w:tc>
              <w:tc>
                <w:tcPr>
                  <w:tcW w:w="981" w:type="pct"/>
                  <w:vMerge w:val="continue"/>
                  <w:vAlign w:val="center"/>
                </w:tcPr>
                <w:p w14:paraId="5B94B9FB">
                  <w:pPr>
                    <w:pStyle w:val="48"/>
                    <w:rPr>
                      <w:rFonts w:ascii="Times New Roman" w:hAnsi="Times New Roman" w:eastAsia="宋体" w:cs="Times New Roman"/>
                      <w:color w:val="auto"/>
                      <w:highlight w:val="none"/>
                    </w:rPr>
                  </w:pPr>
                </w:p>
              </w:tc>
              <w:tc>
                <w:tcPr>
                  <w:tcW w:w="368" w:type="pct"/>
                  <w:vAlign w:val="center"/>
                </w:tcPr>
                <w:p w14:paraId="5C67B5BC">
                  <w:pPr>
                    <w:pStyle w:val="48"/>
                    <w:rPr>
                      <w:color w:val="auto"/>
                      <w:highlight w:val="none"/>
                    </w:rPr>
                  </w:pPr>
                  <w:r>
                    <w:rPr>
                      <w:rFonts w:hint="eastAsia"/>
                      <w:color w:val="auto"/>
                      <w:highlight w:val="none"/>
                    </w:rPr>
                    <w:t>符合</w:t>
                  </w:r>
                </w:p>
              </w:tc>
            </w:tr>
            <w:tr w14:paraId="0CD978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779" w:type="pct"/>
                  <w:vMerge w:val="continue"/>
                  <w:vAlign w:val="center"/>
                </w:tcPr>
                <w:p w14:paraId="0037C34A">
                  <w:pPr>
                    <w:pStyle w:val="48"/>
                    <w:rPr>
                      <w:color w:val="auto"/>
                      <w:highlight w:val="none"/>
                    </w:rPr>
                  </w:pPr>
                </w:p>
              </w:tc>
              <w:tc>
                <w:tcPr>
                  <w:tcW w:w="2870" w:type="pct"/>
                  <w:vAlign w:val="center"/>
                </w:tcPr>
                <w:p w14:paraId="1F5E8B87">
                  <w:pPr>
                    <w:pStyle w:val="48"/>
                    <w:rPr>
                      <w:color w:val="auto"/>
                      <w:highlight w:val="none"/>
                    </w:rPr>
                  </w:pPr>
                  <w:r>
                    <w:rPr>
                      <w:color w:val="auto"/>
                      <w:highlight w:val="none"/>
                    </w:rPr>
                    <w:t>（三）全面加强源头替代审查</w:t>
                  </w:r>
                </w:p>
                <w:p w14:paraId="5C4E5B01">
                  <w:pPr>
                    <w:pStyle w:val="48"/>
                    <w:rPr>
                      <w:color w:val="auto"/>
                      <w:highlight w:val="none"/>
                    </w:rPr>
                  </w:pPr>
                  <w:r>
                    <w:rPr>
                      <w:color w:val="auto"/>
                      <w:highlight w:val="none"/>
                    </w:rPr>
                    <w:t>环评文件应对主要原辅料的理化性质、特性等进行详细分析，明确涉VOCs的主要原辅材料的类型、组分、含量等。使用涂料、油墨、胶</w:t>
                  </w:r>
                  <w:sdt>
                    <w:sdtPr>
                      <w:rPr>
                        <w:color w:val="auto"/>
                        <w:highlight w:val="none"/>
                      </w:rPr>
                      <w:alias w:val="字词错误"/>
                      <w:tag w:val="reviewtag_FF0000"/>
                      <w:id w:val="1030720"/>
                    </w:sdtPr>
                    <w:sdtEndPr>
                      <w:rPr>
                        <w:color w:val="auto"/>
                        <w:highlight w:val="none"/>
                      </w:rPr>
                    </w:sdtEndPr>
                    <w:sdtContent>
                      <w:bookmarkStart w:id="74" w:name="bkReivew1030720"/>
                      <w:r>
                        <w:rPr>
                          <w:color w:val="auto"/>
                          <w:highlight w:val="none"/>
                        </w:rPr>
                        <w:t>粘</w:t>
                      </w:r>
                      <w:bookmarkEnd w:id="74"/>
                    </w:sdtContent>
                  </w:sdt>
                  <w:r>
                    <w:rPr>
                      <w:color w:val="auto"/>
                      <w:highlight w:val="none"/>
                    </w:rPr>
                    <w:t>剂、清洗剂等材料的，VOCs含量应满足国家及省VOCs含量限值要求（附表），优先使用水性、粉末、高固体分、无溶剂、辐射固化等低VOCs含量、低反应活性材料，源头控制VOCs产生。</w:t>
                  </w:r>
                  <w:bookmarkStart w:id="75" w:name="sys39315136"/>
                  <w:r>
                    <w:rPr>
                      <w:color w:val="auto"/>
                      <w:highlight w:val="none"/>
                    </w:rPr>
                    <w:t>禁止审批生产和使用高VOCs含量的涂料、油墨、胶</w:t>
                  </w:r>
                  <w:sdt>
                    <w:sdtPr>
                      <w:rPr>
                        <w:color w:val="auto"/>
                        <w:highlight w:val="none"/>
                      </w:rPr>
                      <w:alias w:val="字词错误"/>
                      <w:tag w:val="reviewtag_FF0000"/>
                      <w:id w:val="2182410"/>
                    </w:sdtPr>
                    <w:sdtEndPr>
                      <w:rPr>
                        <w:color w:val="auto"/>
                        <w:highlight w:val="none"/>
                      </w:rPr>
                    </w:sdtEndPr>
                    <w:sdtContent>
                      <w:bookmarkStart w:id="76" w:name="bkReivew2182410"/>
                      <w:r>
                        <w:rPr>
                          <w:color w:val="auto"/>
                          <w:highlight w:val="none"/>
                        </w:rPr>
                        <w:t>粘</w:t>
                      </w:r>
                      <w:bookmarkEnd w:id="76"/>
                    </w:sdtContent>
                  </w:sdt>
                  <w:r>
                    <w:rPr>
                      <w:color w:val="auto"/>
                      <w:highlight w:val="none"/>
                    </w:rPr>
                    <w:t>剂、清洗剂等建设项目。</w:t>
                  </w:r>
                  <w:bookmarkEnd w:id="75"/>
                </w:p>
              </w:tc>
              <w:tc>
                <w:tcPr>
                  <w:tcW w:w="981" w:type="pct"/>
                  <w:vAlign w:val="center"/>
                </w:tcPr>
                <w:p w14:paraId="5F7C7DA9">
                  <w:pPr>
                    <w:pStyle w:val="48"/>
                    <w:rPr>
                      <w:rFonts w:hint="eastAsia" w:eastAsia="宋体"/>
                      <w:color w:val="auto"/>
                      <w:highlight w:val="none"/>
                      <w:lang w:val="en-US" w:eastAsia="zh-CN"/>
                    </w:rPr>
                  </w:pPr>
                  <w:r>
                    <w:rPr>
                      <w:rFonts w:hint="eastAsia"/>
                      <w:color w:val="auto"/>
                      <w:highlight w:val="none"/>
                      <w:lang w:val="en-US" w:eastAsia="zh-CN"/>
                    </w:rPr>
                    <w:t>本项目不涉及使用</w:t>
                  </w:r>
                  <w:r>
                    <w:rPr>
                      <w:color w:val="auto"/>
                      <w:highlight w:val="none"/>
                    </w:rPr>
                    <w:t>涂料、油墨、胶</w:t>
                  </w:r>
                  <w:sdt>
                    <w:sdtPr>
                      <w:rPr>
                        <w:color w:val="auto"/>
                        <w:highlight w:val="none"/>
                      </w:rPr>
                      <w:alias w:val="字词错误"/>
                      <w:tag w:val="reviewtag_FF0000"/>
                      <w:id w:val="3141453"/>
                    </w:sdtPr>
                    <w:sdtEndPr>
                      <w:rPr>
                        <w:color w:val="auto"/>
                        <w:highlight w:val="none"/>
                      </w:rPr>
                    </w:sdtEndPr>
                    <w:sdtContent>
                      <w:bookmarkStart w:id="77" w:name="bkReivew3141453"/>
                      <w:r>
                        <w:rPr>
                          <w:color w:val="auto"/>
                          <w:highlight w:val="none"/>
                        </w:rPr>
                        <w:t>粘</w:t>
                      </w:r>
                      <w:bookmarkEnd w:id="77"/>
                    </w:sdtContent>
                  </w:sdt>
                  <w:r>
                    <w:rPr>
                      <w:color w:val="auto"/>
                      <w:highlight w:val="none"/>
                    </w:rPr>
                    <w:t>剂、清洗剂等材料</w:t>
                  </w:r>
                  <w:r>
                    <w:rPr>
                      <w:rFonts w:hint="eastAsia"/>
                      <w:color w:val="auto"/>
                      <w:highlight w:val="none"/>
                      <w:lang w:eastAsia="zh-CN"/>
                    </w:rPr>
                    <w:t>。</w:t>
                  </w:r>
                </w:p>
              </w:tc>
              <w:tc>
                <w:tcPr>
                  <w:tcW w:w="368" w:type="pct"/>
                  <w:vAlign w:val="center"/>
                </w:tcPr>
                <w:p w14:paraId="1C2E386D">
                  <w:pPr>
                    <w:pStyle w:val="48"/>
                    <w:rPr>
                      <w:color w:val="auto"/>
                      <w:highlight w:val="none"/>
                    </w:rPr>
                  </w:pPr>
                  <w:r>
                    <w:rPr>
                      <w:rFonts w:hint="eastAsia"/>
                      <w:color w:val="auto"/>
                      <w:highlight w:val="none"/>
                    </w:rPr>
                    <w:t>符合</w:t>
                  </w:r>
                </w:p>
              </w:tc>
            </w:tr>
            <w:tr w14:paraId="283558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779" w:type="pct"/>
                  <w:vMerge w:val="continue"/>
                  <w:vAlign w:val="center"/>
                </w:tcPr>
                <w:p w14:paraId="33A6FD83">
                  <w:pPr>
                    <w:pStyle w:val="48"/>
                    <w:rPr>
                      <w:color w:val="auto"/>
                      <w:highlight w:val="none"/>
                    </w:rPr>
                  </w:pPr>
                </w:p>
              </w:tc>
              <w:tc>
                <w:tcPr>
                  <w:tcW w:w="2870" w:type="pct"/>
                  <w:vAlign w:val="center"/>
                </w:tcPr>
                <w:p w14:paraId="2DF1A7CF">
                  <w:pPr>
                    <w:pStyle w:val="48"/>
                    <w:rPr>
                      <w:color w:val="auto"/>
                      <w:highlight w:val="none"/>
                    </w:rPr>
                  </w:pPr>
                  <w:r>
                    <w:rPr>
                      <w:color w:val="auto"/>
                      <w:highlight w:val="none"/>
                    </w:rPr>
                    <w:t>（四）全面加强无组织排放控制审查</w:t>
                  </w:r>
                </w:p>
                <w:p w14:paraId="2E94220C">
                  <w:pPr>
                    <w:pStyle w:val="48"/>
                    <w:rPr>
                      <w:color w:val="auto"/>
                      <w:highlight w:val="none"/>
                    </w:rPr>
                  </w:pPr>
                  <w:r>
                    <w:rPr>
                      <w:color w:val="auto"/>
                      <w:highlight w:val="none"/>
                    </w:rPr>
                    <w:t>涉VOCs无组织排放的建设项目，环评文件应严格按照《挥发性有机物无组织排放标准》等有关要求，重点加强对含VOCs物料储存、转移和输送、设备与管线组件泄漏、敞开液面逸散以及工艺过程等5类排放源的VOCs管控评价，详细描述采取的VOCs废气无组织控制措施，充分论证其可行性和可靠性，不得采用密闭收集、密闭储存等简单、笼统性文字进行描述。</w:t>
                  </w:r>
                </w:p>
                <w:p w14:paraId="0940FDD7">
                  <w:pPr>
                    <w:pStyle w:val="48"/>
                    <w:rPr>
                      <w:color w:val="auto"/>
                      <w:highlight w:val="none"/>
                    </w:rPr>
                  </w:pPr>
                  <w:r>
                    <w:rPr>
                      <w:color w:val="auto"/>
                      <w:highlight w:val="none"/>
                    </w:rPr>
                    <w:t>生产流程中涉及VOCs的生产环节和服务活动，在符合安全要</w:t>
                  </w:r>
                  <w:r>
                    <w:rPr>
                      <w:rFonts w:hint="eastAsia"/>
                      <w:color w:val="auto"/>
                      <w:highlight w:val="none"/>
                      <w:lang w:eastAsia="zh-CN"/>
                    </w:rPr>
                    <w:t>求的</w:t>
                  </w:r>
                  <w:r>
                    <w:rPr>
                      <w:color w:val="auto"/>
                      <w:highlight w:val="none"/>
                    </w:rPr>
                    <w:t>前提下，应按要求在密闭空间或者设备中进行。无法密闭的，应采取措施有效减少废气排放，并科学设计废气收集系统。采用全密闭集气罩或密闭空间的，除行业有特殊要求外，应保持微负压状态，并根据规范合理设置通风量。采用局部集气罩的，距集气罩开口面最远处的VOCs无组织排放位置，控制风速应不低于0.3米/秒。VOCs废气应遵循</w:t>
                  </w:r>
                  <w:r>
                    <w:rPr>
                      <w:rFonts w:hint="eastAsia"/>
                      <w:color w:val="auto"/>
                      <w:highlight w:val="none"/>
                    </w:rPr>
                    <w:t>“</w:t>
                  </w:r>
                  <w:r>
                    <w:rPr>
                      <w:color w:val="auto"/>
                      <w:highlight w:val="none"/>
                    </w:rPr>
                    <w:t>应收尽收、分质收集</w:t>
                  </w:r>
                  <w:r>
                    <w:rPr>
                      <w:rFonts w:hint="eastAsia"/>
                      <w:color w:val="auto"/>
                      <w:highlight w:val="none"/>
                    </w:rPr>
                    <w:t>”</w:t>
                  </w:r>
                  <w:r>
                    <w:rPr>
                      <w:color w:val="auto"/>
                      <w:highlight w:val="none"/>
                    </w:rPr>
                    <w:t>原则，收集效率</w:t>
                  </w:r>
                  <w:sdt>
                    <w:sdtPr>
                      <w:rPr>
                        <w:color w:val="auto"/>
                      </w:rPr>
                      <w:alias w:val="语法错误"/>
                      <w:tag w:val="reviewtag_FF0000"/>
                      <w:id w:val="1172411"/>
                    </w:sdtPr>
                    <w:sdtEndPr>
                      <w:rPr>
                        <w:color w:val="auto"/>
                      </w:rPr>
                    </w:sdtEndPr>
                    <w:sdtContent>
                      <w:bookmarkStart w:id="78" w:name="bkReivew1172411"/>
                      <w:r>
                        <w:rPr>
                          <w:color w:val="auto"/>
                          <w:highlight w:val="none"/>
                        </w:rPr>
                        <w:t>应原则上</w:t>
                      </w:r>
                      <w:bookmarkEnd w:id="78"/>
                    </w:sdtContent>
                  </w:sdt>
                  <w:r>
                    <w:rPr>
                      <w:color w:val="auto"/>
                      <w:highlight w:val="none"/>
                    </w:rPr>
                    <w:t>不低于90%，由于技术可行性等因素确实达不到的，应在环评文件中充分论述并确定收集效率要求。</w:t>
                  </w:r>
                </w:p>
                <w:p w14:paraId="1EA7B0A5">
                  <w:pPr>
                    <w:pStyle w:val="48"/>
                    <w:rPr>
                      <w:color w:val="auto"/>
                      <w:highlight w:val="none"/>
                    </w:rPr>
                  </w:pPr>
                  <w:r>
                    <w:rPr>
                      <w:color w:val="auto"/>
                      <w:highlight w:val="none"/>
                    </w:rPr>
                    <w:t>加强载有气态、液态VOCs物料的设备与管线组件的管理，动静密封点数量大于等于2000个的建设项目，环评文件中应明确要求按期开展</w:t>
                  </w:r>
                  <w:r>
                    <w:rPr>
                      <w:rFonts w:hint="eastAsia"/>
                      <w:color w:val="auto"/>
                      <w:highlight w:val="none"/>
                    </w:rPr>
                    <w:t>“</w:t>
                  </w:r>
                  <w:r>
                    <w:rPr>
                      <w:color w:val="auto"/>
                      <w:highlight w:val="none"/>
                    </w:rPr>
                    <w:t>泄漏检测与修复</w:t>
                  </w:r>
                  <w:r>
                    <w:rPr>
                      <w:rFonts w:hint="eastAsia"/>
                      <w:color w:val="auto"/>
                      <w:highlight w:val="none"/>
                    </w:rPr>
                    <w:t>”</w:t>
                  </w:r>
                  <w:r>
                    <w:rPr>
                      <w:color w:val="auto"/>
                      <w:highlight w:val="none"/>
                    </w:rPr>
                    <w:t>（LDAR）工作，严格控制跑冒滴漏和无组织泄漏排放。</w:t>
                  </w:r>
                </w:p>
              </w:tc>
              <w:tc>
                <w:tcPr>
                  <w:tcW w:w="981" w:type="pct"/>
                  <w:vAlign w:val="center"/>
                </w:tcPr>
                <w:p w14:paraId="0C8CA6B4">
                  <w:pPr>
                    <w:pStyle w:val="48"/>
                    <w:rPr>
                      <w:rFonts w:hint="default"/>
                      <w:color w:val="auto"/>
                      <w:highlight w:val="none"/>
                      <w:lang w:val="en-US" w:eastAsia="zh-CN"/>
                    </w:rPr>
                  </w:pPr>
                  <w:r>
                    <w:rPr>
                      <w:rFonts w:hint="eastAsia"/>
                      <w:color w:val="auto"/>
                      <w:lang w:val="en-US" w:eastAsia="zh-CN"/>
                    </w:rPr>
                    <w:t>本项目</w:t>
                  </w:r>
                  <w:r>
                    <w:rPr>
                      <w:rFonts w:hint="eastAsia"/>
                      <w:color w:val="auto"/>
                      <w:highlight w:val="none"/>
                      <w:lang w:val="en-US" w:eastAsia="zh-CN"/>
                    </w:rPr>
                    <w:t>电池燃烧废气经车间密闭收集后无组织排放，收集效率为95%</w:t>
                  </w:r>
                </w:p>
              </w:tc>
              <w:tc>
                <w:tcPr>
                  <w:tcW w:w="368" w:type="pct"/>
                  <w:vAlign w:val="center"/>
                </w:tcPr>
                <w:p w14:paraId="391103B0">
                  <w:pPr>
                    <w:pStyle w:val="48"/>
                    <w:rPr>
                      <w:color w:val="auto"/>
                      <w:highlight w:val="none"/>
                    </w:rPr>
                  </w:pPr>
                  <w:r>
                    <w:rPr>
                      <w:rFonts w:hint="eastAsia"/>
                      <w:color w:val="auto"/>
                      <w:highlight w:val="none"/>
                    </w:rPr>
                    <w:t>符合</w:t>
                  </w:r>
                </w:p>
              </w:tc>
            </w:tr>
            <w:tr w14:paraId="5E49F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779" w:type="pct"/>
                  <w:vMerge w:val="continue"/>
                  <w:vAlign w:val="center"/>
                </w:tcPr>
                <w:p w14:paraId="3FC34D21">
                  <w:pPr>
                    <w:pStyle w:val="48"/>
                    <w:rPr>
                      <w:color w:val="auto"/>
                      <w:highlight w:val="none"/>
                    </w:rPr>
                  </w:pPr>
                </w:p>
              </w:tc>
              <w:tc>
                <w:tcPr>
                  <w:tcW w:w="2870" w:type="pct"/>
                  <w:vAlign w:val="center"/>
                </w:tcPr>
                <w:p w14:paraId="54D57C75">
                  <w:pPr>
                    <w:pStyle w:val="48"/>
                    <w:rPr>
                      <w:color w:val="auto"/>
                      <w:highlight w:val="none"/>
                    </w:rPr>
                  </w:pPr>
                  <w:r>
                    <w:rPr>
                      <w:color w:val="auto"/>
                      <w:highlight w:val="none"/>
                    </w:rPr>
                    <w:t>在项目建设过程中涉及使用涂料、油漆、胶黏剂、油墨、清洗剂等含VOCs产品的，环评文件中应明确要求企业优先使用符合国家、省和本市要求的低（无）VOCs含量产品。同时，鼓励企业积极响应政府污染预测预警，执行夏季臭氧污染错时作业等要求。</w:t>
                  </w:r>
                </w:p>
              </w:tc>
              <w:tc>
                <w:tcPr>
                  <w:tcW w:w="981" w:type="pct"/>
                  <w:vAlign w:val="center"/>
                </w:tcPr>
                <w:p w14:paraId="1D95B377">
                  <w:pPr>
                    <w:pStyle w:val="48"/>
                    <w:rPr>
                      <w:rFonts w:hint="default" w:eastAsia="宋体"/>
                      <w:color w:val="auto"/>
                      <w:highlight w:val="none"/>
                      <w:lang w:val="en-US" w:eastAsia="zh-CN"/>
                    </w:rPr>
                  </w:pPr>
                  <w:r>
                    <w:rPr>
                      <w:rFonts w:hint="eastAsia"/>
                      <w:color w:val="auto"/>
                      <w:lang w:val="en-US" w:eastAsia="zh-CN"/>
                    </w:rPr>
                    <w:t>本项目</w:t>
                  </w:r>
                  <w:r>
                    <w:rPr>
                      <w:rFonts w:hint="eastAsia"/>
                      <w:color w:val="auto"/>
                      <w:highlight w:val="none"/>
                      <w:lang w:val="en-US" w:eastAsia="zh-CN"/>
                    </w:rPr>
                    <w:t>不涉及</w:t>
                  </w:r>
                  <w:r>
                    <w:rPr>
                      <w:color w:val="auto"/>
                      <w:highlight w:val="none"/>
                    </w:rPr>
                    <w:t>涂料、油漆、胶黏剂、油墨</w:t>
                  </w:r>
                  <w:r>
                    <w:rPr>
                      <w:rFonts w:hint="eastAsia"/>
                      <w:color w:val="auto"/>
                      <w:highlight w:val="none"/>
                      <w:lang w:val="en-US" w:eastAsia="zh-CN"/>
                    </w:rPr>
                    <w:t>的使用</w:t>
                  </w:r>
                </w:p>
              </w:tc>
              <w:tc>
                <w:tcPr>
                  <w:tcW w:w="368" w:type="pct"/>
                  <w:vAlign w:val="center"/>
                </w:tcPr>
                <w:p w14:paraId="4D8F7224">
                  <w:pPr>
                    <w:pStyle w:val="48"/>
                    <w:rPr>
                      <w:color w:val="auto"/>
                      <w:highlight w:val="none"/>
                      <w:lang w:val="zh-CN"/>
                    </w:rPr>
                  </w:pPr>
                  <w:r>
                    <w:rPr>
                      <w:rFonts w:hint="eastAsia"/>
                      <w:color w:val="auto"/>
                      <w:highlight w:val="none"/>
                    </w:rPr>
                    <w:t>符合</w:t>
                  </w:r>
                </w:p>
              </w:tc>
            </w:tr>
            <w:tr w14:paraId="51D42D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Merge w:val="continue"/>
                  <w:vAlign w:val="center"/>
                </w:tcPr>
                <w:p w14:paraId="40EF9C4F">
                  <w:pPr>
                    <w:pStyle w:val="48"/>
                    <w:rPr>
                      <w:color w:val="auto"/>
                      <w:highlight w:val="none"/>
                    </w:rPr>
                  </w:pPr>
                </w:p>
              </w:tc>
              <w:tc>
                <w:tcPr>
                  <w:tcW w:w="2870" w:type="pct"/>
                  <w:vAlign w:val="center"/>
                </w:tcPr>
                <w:p w14:paraId="561A6AEC">
                  <w:pPr>
                    <w:pStyle w:val="48"/>
                    <w:rPr>
                      <w:color w:val="auto"/>
                      <w:highlight w:val="none"/>
                    </w:rPr>
                  </w:pPr>
                  <w:r>
                    <w:rPr>
                      <w:color w:val="auto"/>
                      <w:highlight w:val="none"/>
                    </w:rPr>
                    <w:t>做好</w:t>
                  </w:r>
                  <w:r>
                    <w:rPr>
                      <w:rFonts w:hint="eastAsia"/>
                      <w:color w:val="auto"/>
                      <w:highlight w:val="none"/>
                    </w:rPr>
                    <w:t>“</w:t>
                  </w:r>
                  <w:r>
                    <w:rPr>
                      <w:color w:val="auto"/>
                      <w:highlight w:val="none"/>
                    </w:rPr>
                    <w:t>以新带老</w:t>
                  </w:r>
                  <w:r>
                    <w:rPr>
                      <w:rFonts w:hint="eastAsia"/>
                      <w:color w:val="auto"/>
                      <w:highlight w:val="none"/>
                    </w:rPr>
                    <w:t>”</w:t>
                  </w:r>
                  <w:r>
                    <w:rPr>
                      <w:color w:val="auto"/>
                      <w:highlight w:val="none"/>
                    </w:rPr>
                    <w:t>要求的落实。涉VOCs排放的新、改、扩建项目，要贯彻</w:t>
                  </w:r>
                  <w:r>
                    <w:rPr>
                      <w:rFonts w:hint="eastAsia"/>
                      <w:color w:val="auto"/>
                      <w:highlight w:val="none"/>
                    </w:rPr>
                    <w:t>“</w:t>
                  </w:r>
                  <w:r>
                    <w:rPr>
                      <w:color w:val="auto"/>
                      <w:highlight w:val="none"/>
                    </w:rPr>
                    <w:t>以新带老</w:t>
                  </w:r>
                  <w:r>
                    <w:rPr>
                      <w:rFonts w:hint="eastAsia"/>
                      <w:color w:val="auto"/>
                      <w:highlight w:val="none"/>
                    </w:rPr>
                    <w:t>”</w:t>
                  </w:r>
                  <w:r>
                    <w:rPr>
                      <w:color w:val="auto"/>
                      <w:highlight w:val="none"/>
                    </w:rPr>
                    <w:t>原则，鼓励现有项目的涉VOCs生产工艺、原辅材料使用、治理设施按照新要求，同步进行技术升级，逐步淘汰现有的低效处理技术。</w:t>
                  </w:r>
                </w:p>
                <w:p w14:paraId="7DCFABA6">
                  <w:pPr>
                    <w:pStyle w:val="48"/>
                    <w:rPr>
                      <w:color w:val="auto"/>
                      <w:highlight w:val="none"/>
                    </w:rPr>
                  </w:pPr>
                  <w:r>
                    <w:rPr>
                      <w:color w:val="auto"/>
                      <w:highlight w:val="none"/>
                    </w:rPr>
                    <w:t>做好与排污许可制度的衔接。将排污许可证作为落实固定污染源环评文件审批要求的重要保障，结合排污许可证申请与核发技术规范和污染防治可行技术指南，严格建设项目环评文件审查。</w:t>
                  </w:r>
                </w:p>
                <w:p w14:paraId="497294B5">
                  <w:pPr>
                    <w:pStyle w:val="48"/>
                    <w:rPr>
                      <w:color w:val="auto"/>
                      <w:highlight w:val="none"/>
                    </w:rPr>
                  </w:pPr>
                  <w:r>
                    <w:rPr>
                      <w:color w:val="auto"/>
                      <w:highlight w:val="none"/>
                    </w:rPr>
                    <w:t>做好管理部门的沟通协调。环评审批、大气管理、现场执法等部门应形成合力，进一步加强环评审查、总量平衡、事中事后监管、排污许可证核发及证后监管等工作协作，切实加强VOCs污染的管理。</w:t>
                  </w:r>
                </w:p>
              </w:tc>
              <w:tc>
                <w:tcPr>
                  <w:tcW w:w="981" w:type="pct"/>
                  <w:vAlign w:val="center"/>
                </w:tcPr>
                <w:p w14:paraId="1067007D">
                  <w:pPr>
                    <w:pStyle w:val="48"/>
                    <w:rPr>
                      <w:color w:val="auto"/>
                      <w:highlight w:val="none"/>
                    </w:rPr>
                  </w:pPr>
                  <w:r>
                    <w:rPr>
                      <w:rFonts w:hint="eastAsia"/>
                      <w:color w:val="auto"/>
                      <w:highlight w:val="none"/>
                    </w:rPr>
                    <w:t>本项目拟采取的</w:t>
                  </w:r>
                  <w:r>
                    <w:rPr>
                      <w:color w:val="auto"/>
                      <w:highlight w:val="none"/>
                    </w:rPr>
                    <w:t>各项污染防治措施可行，项目完成后，应对照《排污许可管理条例》等文件</w:t>
                  </w:r>
                  <w:r>
                    <w:rPr>
                      <w:rFonts w:hint="eastAsia"/>
                      <w:color w:val="auto"/>
                      <w:highlight w:val="none"/>
                    </w:rPr>
                    <w:t>要求</w:t>
                  </w:r>
                  <w:r>
                    <w:rPr>
                      <w:color w:val="auto"/>
                      <w:highlight w:val="none"/>
                    </w:rPr>
                    <w:t>进行排污许可的</w:t>
                  </w:r>
                  <w:r>
                    <w:rPr>
                      <w:rFonts w:hint="eastAsia"/>
                      <w:color w:val="auto"/>
                      <w:highlight w:val="none"/>
                      <w:lang w:val="en-US" w:eastAsia="zh-CN"/>
                    </w:rPr>
                    <w:t>申报</w:t>
                  </w:r>
                  <w:r>
                    <w:rPr>
                      <w:rFonts w:hint="eastAsia"/>
                      <w:color w:val="auto"/>
                      <w:highlight w:val="none"/>
                    </w:rPr>
                    <w:t>。</w:t>
                  </w:r>
                </w:p>
              </w:tc>
              <w:tc>
                <w:tcPr>
                  <w:tcW w:w="368" w:type="pct"/>
                  <w:vAlign w:val="center"/>
                </w:tcPr>
                <w:p w14:paraId="1C5361CF">
                  <w:pPr>
                    <w:pStyle w:val="48"/>
                    <w:rPr>
                      <w:color w:val="auto"/>
                      <w:highlight w:val="none"/>
                    </w:rPr>
                  </w:pPr>
                  <w:r>
                    <w:rPr>
                      <w:rFonts w:hint="eastAsia"/>
                      <w:color w:val="auto"/>
                      <w:highlight w:val="none"/>
                    </w:rPr>
                    <w:t>符合</w:t>
                  </w:r>
                </w:p>
              </w:tc>
            </w:tr>
            <w:tr w14:paraId="30AB1E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74C5310F">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color w:val="auto"/>
                      <w:highlight w:val="none"/>
                    </w:rPr>
                  </w:pPr>
                  <w:r>
                    <w:rPr>
                      <w:rFonts w:hint="default" w:ascii="Times New Roman" w:hAnsi="Times New Roman" w:eastAsia="宋体" w:cs="Times New Roman"/>
                      <w:b w:val="0"/>
                      <w:color w:val="auto"/>
                      <w:sz w:val="21"/>
                      <w:highlight w:val="none"/>
                    </w:rPr>
                    <w:t>《优先控制化学品名录》</w:t>
                  </w:r>
                  <w:r>
                    <w:rPr>
                      <w:rFonts w:hint="eastAsia" w:cs="Times New Roman"/>
                      <w:b w:val="0"/>
                      <w:color w:val="auto"/>
                      <w:sz w:val="21"/>
                      <w:highlight w:val="none"/>
                      <w:lang w:eastAsia="zh-CN"/>
                    </w:rPr>
                    <w:t>（</w:t>
                  </w:r>
                  <w:r>
                    <w:rPr>
                      <w:rFonts w:hint="default" w:ascii="Times New Roman" w:hAnsi="Times New Roman" w:eastAsia="宋体" w:cs="Times New Roman"/>
                      <w:b w:val="0"/>
                      <w:color w:val="auto"/>
                      <w:sz w:val="21"/>
                      <w:highlight w:val="none"/>
                    </w:rPr>
                    <w:t>第一批、第二批</w:t>
                  </w:r>
                  <w:r>
                    <w:rPr>
                      <w:rFonts w:hint="eastAsia" w:cs="Times New Roman"/>
                      <w:b w:val="0"/>
                      <w:color w:val="auto"/>
                      <w:sz w:val="21"/>
                      <w:highlight w:val="none"/>
                      <w:lang w:eastAsia="zh-CN"/>
                    </w:rPr>
                    <w:t>、</w:t>
                  </w:r>
                  <w:r>
                    <w:rPr>
                      <w:rFonts w:hint="eastAsia" w:cs="Times New Roman"/>
                      <w:b w:val="0"/>
                      <w:color w:val="auto"/>
                      <w:sz w:val="21"/>
                      <w:highlight w:val="none"/>
                      <w:lang w:val="en-US" w:eastAsia="zh-CN"/>
                    </w:rPr>
                    <w:t>第三批</w:t>
                  </w:r>
                  <w:r>
                    <w:rPr>
                      <w:rFonts w:hint="eastAsia" w:cs="Times New Roman"/>
                      <w:b w:val="0"/>
                      <w:color w:val="auto"/>
                      <w:sz w:val="21"/>
                      <w:highlight w:val="none"/>
                      <w:lang w:eastAsia="zh-CN"/>
                    </w:rPr>
                    <w:t>）</w:t>
                  </w:r>
                </w:p>
              </w:tc>
              <w:tc>
                <w:tcPr>
                  <w:tcW w:w="2870" w:type="pct"/>
                  <w:vAlign w:val="center"/>
                </w:tcPr>
                <w:p w14:paraId="05F694DE">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left"/>
                    <w:textAlignment w:val="auto"/>
                    <w:rPr>
                      <w:rFonts w:hint="default"/>
                      <w:color w:val="auto"/>
                      <w:highlight w:val="none"/>
                    </w:rPr>
                  </w:pPr>
                  <w:r>
                    <w:rPr>
                      <w:rFonts w:hint="default" w:ascii="Times New Roman" w:hAnsi="Times New Roman" w:cs="Times New Roman"/>
                      <w:color w:val="auto"/>
                      <w:highlight w:val="none"/>
                      <w:lang w:val="en-US" w:eastAsia="zh-CN"/>
                    </w:rPr>
                    <w:t>《优先控制化学品名录》重点识别和关注固有危害属性较大，环境中可能长期存在</w:t>
                  </w:r>
                  <w:sdt>
                    <w:sdtPr>
                      <w:rPr>
                        <w:color w:val="auto"/>
                      </w:rPr>
                      <w:alias w:val="语法错误"/>
                      <w:tag w:val="reviewtag_0000FF"/>
                      <w:id w:val="31845"/>
                    </w:sdtPr>
                    <w:sdtEndPr>
                      <w:rPr>
                        <w:color w:val="auto"/>
                      </w:rPr>
                    </w:sdtEndPr>
                    <w:sdtContent>
                      <w:bookmarkStart w:id="79" w:name="bkReivew31845"/>
                      <w:r>
                        <w:rPr>
                          <w:rFonts w:hint="default" w:ascii="Times New Roman" w:hAnsi="Times New Roman" w:cs="Times New Roman"/>
                          <w:color w:val="auto"/>
                          <w:highlight w:val="none"/>
                          <w:lang w:val="en-US" w:eastAsia="zh-CN"/>
                        </w:rPr>
                        <w:t>的</w:t>
                      </w:r>
                      <w:bookmarkEnd w:id="79"/>
                    </w:sdtContent>
                  </w:sdt>
                  <w:r>
                    <w:rPr>
                      <w:rFonts w:hint="default" w:ascii="Times New Roman" w:hAnsi="Times New Roman" w:cs="Times New Roman"/>
                      <w:color w:val="auto"/>
                      <w:highlight w:val="none"/>
                      <w:lang w:val="en-US" w:eastAsia="zh-CN"/>
                    </w:rPr>
                    <w:t>并可能对环境和人体健康造成较大风险的化学品。对列入《优先控制化学品名录》的化学品，应当针对其产生环境与健康风险的主要环节，依据相关政策法规，结合经济技术可行性，采取以下一种或几种风险管控措施，最大限度降低化学品的生产、使用对人类健康和环境的重大影响。</w:t>
                  </w:r>
                </w:p>
                <w:p w14:paraId="6459D40F">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left"/>
                    <w:textAlignment w:val="auto"/>
                    <w:rPr>
                      <w:rFonts w:hint="eastAsia"/>
                      <w:color w:val="auto"/>
                      <w:highlight w:val="none"/>
                      <w:lang w:val="en-US" w:eastAsia="zh-CN"/>
                    </w:rPr>
                  </w:pPr>
                  <w:r>
                    <w:rPr>
                      <w:rFonts w:hint="eastAsia" w:ascii="Times New Roman" w:hAnsi="Times New Roman" w:eastAsia="宋体" w:cs="Times New Roman"/>
                      <w:color w:val="auto"/>
                      <w:kern w:val="0"/>
                      <w:sz w:val="21"/>
                      <w:szCs w:val="24"/>
                      <w:highlight w:val="none"/>
                      <w:lang w:val="en-US" w:eastAsia="zh-CN" w:bidi="ar-SA"/>
                    </w:rPr>
                    <w:t>一、</w:t>
                  </w:r>
                  <w:r>
                    <w:rPr>
                      <w:rFonts w:hint="eastAsia"/>
                      <w:color w:val="auto"/>
                      <w:highlight w:val="none"/>
                      <w:lang w:val="en-US" w:eastAsia="zh-CN"/>
                    </w:rPr>
                    <w:t>纳入相应环境管理名录；</w:t>
                  </w:r>
                </w:p>
                <w:p w14:paraId="63E5D08C">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left"/>
                    <w:textAlignment w:val="auto"/>
                    <w:rPr>
                      <w:rFonts w:hint="default"/>
                      <w:color w:val="auto"/>
                      <w:highlight w:val="none"/>
                      <w:lang w:val="en-US" w:eastAsia="zh-CN"/>
                    </w:rPr>
                  </w:pPr>
                  <w:r>
                    <w:rPr>
                      <w:rFonts w:hint="eastAsia" w:ascii="Times New Roman" w:hAnsi="Times New Roman" w:eastAsia="宋体" w:cs="Times New Roman"/>
                      <w:color w:val="auto"/>
                      <w:kern w:val="0"/>
                      <w:sz w:val="21"/>
                      <w:szCs w:val="24"/>
                      <w:highlight w:val="none"/>
                      <w:lang w:val="en-US" w:eastAsia="zh-CN" w:bidi="ar-SA"/>
                    </w:rPr>
                    <w:t>二、</w:t>
                  </w:r>
                  <w:r>
                    <w:rPr>
                      <w:rFonts w:hint="eastAsia"/>
                      <w:color w:val="auto"/>
                      <w:highlight w:val="none"/>
                      <w:lang w:val="en-US" w:eastAsia="zh-CN"/>
                    </w:rPr>
                    <w:t>实施清洁生产审核及信息公开制度；</w:t>
                  </w:r>
                </w:p>
                <w:p w14:paraId="7A028B3F">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left"/>
                    <w:textAlignment w:val="auto"/>
                    <w:rPr>
                      <w:color w:val="auto"/>
                      <w:highlight w:val="none"/>
                    </w:rPr>
                  </w:pPr>
                  <w:r>
                    <w:rPr>
                      <w:rFonts w:hint="eastAsia" w:ascii="Times New Roman" w:hAnsi="Times New Roman" w:eastAsia="宋体" w:cs="Times New Roman"/>
                      <w:color w:val="auto"/>
                      <w:kern w:val="0"/>
                      <w:sz w:val="21"/>
                      <w:szCs w:val="24"/>
                      <w:highlight w:val="none"/>
                      <w:lang w:val="en-US" w:eastAsia="zh-CN" w:bidi="ar-SA"/>
                    </w:rPr>
                    <w:t>三、</w:t>
                  </w:r>
                  <w:r>
                    <w:rPr>
                      <w:rFonts w:hint="eastAsia"/>
                      <w:color w:val="auto"/>
                      <w:highlight w:val="none"/>
                      <w:lang w:val="en-US" w:eastAsia="zh-CN"/>
                    </w:rPr>
                    <w:t>实行限制措施</w:t>
                  </w:r>
                </w:p>
              </w:tc>
              <w:tc>
                <w:tcPr>
                  <w:tcW w:w="981" w:type="pct"/>
                  <w:vAlign w:val="center"/>
                </w:tcPr>
                <w:p w14:paraId="762F04C6">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olor w:val="auto"/>
                      <w:highlight w:val="none"/>
                    </w:rPr>
                  </w:pPr>
                  <w:r>
                    <w:rPr>
                      <w:rFonts w:hint="eastAsia" w:cs="Times New Roman"/>
                      <w:color w:val="auto"/>
                      <w:highlight w:val="none"/>
                      <w:lang w:val="en-US" w:eastAsia="zh-CN"/>
                    </w:rPr>
                    <w:t>本项目不涉及使用</w:t>
                  </w:r>
                  <w:r>
                    <w:rPr>
                      <w:rFonts w:hint="default" w:ascii="Times New Roman" w:hAnsi="Times New Roman" w:eastAsia="宋体" w:cs="Times New Roman"/>
                      <w:b w:val="0"/>
                      <w:color w:val="auto"/>
                      <w:sz w:val="21"/>
                      <w:highlight w:val="none"/>
                    </w:rPr>
                    <w:t>《优先控制化学品名录》</w:t>
                  </w:r>
                  <w:r>
                    <w:rPr>
                      <w:rFonts w:hint="eastAsia" w:cs="Times New Roman"/>
                      <w:b w:val="0"/>
                      <w:color w:val="auto"/>
                      <w:sz w:val="21"/>
                      <w:highlight w:val="none"/>
                      <w:lang w:eastAsia="zh-CN"/>
                    </w:rPr>
                    <w:t>（</w:t>
                  </w:r>
                  <w:r>
                    <w:rPr>
                      <w:rFonts w:hint="default" w:ascii="Times New Roman" w:hAnsi="Times New Roman" w:eastAsia="宋体" w:cs="Times New Roman"/>
                      <w:b w:val="0"/>
                      <w:color w:val="auto"/>
                      <w:sz w:val="21"/>
                      <w:highlight w:val="none"/>
                    </w:rPr>
                    <w:t>第一批、第二批</w:t>
                  </w:r>
                  <w:r>
                    <w:rPr>
                      <w:rFonts w:hint="eastAsia" w:cs="Times New Roman"/>
                      <w:b w:val="0"/>
                      <w:color w:val="auto"/>
                      <w:sz w:val="21"/>
                      <w:highlight w:val="none"/>
                      <w:lang w:eastAsia="zh-CN"/>
                    </w:rPr>
                    <w:t>、</w:t>
                  </w:r>
                  <w:r>
                    <w:rPr>
                      <w:rFonts w:hint="eastAsia" w:cs="Times New Roman"/>
                      <w:b w:val="0"/>
                      <w:color w:val="auto"/>
                      <w:sz w:val="21"/>
                      <w:highlight w:val="none"/>
                      <w:lang w:val="en-US" w:eastAsia="zh-CN"/>
                    </w:rPr>
                    <w:t>第三批</w:t>
                  </w:r>
                  <w:r>
                    <w:rPr>
                      <w:rFonts w:hint="eastAsia" w:cs="Times New Roman"/>
                      <w:b w:val="0"/>
                      <w:color w:val="auto"/>
                      <w:sz w:val="21"/>
                      <w:highlight w:val="none"/>
                      <w:lang w:eastAsia="zh-CN"/>
                    </w:rPr>
                    <w:t>）</w:t>
                  </w:r>
                  <w:r>
                    <w:rPr>
                      <w:rFonts w:hint="eastAsia" w:cs="Times New Roman"/>
                      <w:b w:val="0"/>
                      <w:color w:val="auto"/>
                      <w:sz w:val="21"/>
                      <w:highlight w:val="none"/>
                      <w:lang w:val="en-US" w:eastAsia="zh-CN"/>
                    </w:rPr>
                    <w:t>物质，后期按照</w:t>
                  </w:r>
                  <w:r>
                    <w:rPr>
                      <w:rFonts w:hint="eastAsia"/>
                      <w:color w:val="auto"/>
                      <w:highlight w:val="none"/>
                      <w:lang w:val="en-US" w:eastAsia="zh-CN"/>
                    </w:rPr>
                    <w:t>要求进行环境风险管控</w:t>
                  </w:r>
                  <w:r>
                    <w:rPr>
                      <w:rFonts w:hint="eastAsia" w:ascii="Times New Roman" w:hAnsi="Times New Roman" w:eastAsia="宋体" w:cs="Times New Roman"/>
                      <w:b w:val="0"/>
                      <w:color w:val="auto"/>
                      <w:sz w:val="21"/>
                      <w:highlight w:val="none"/>
                      <w:lang w:val="en-US" w:eastAsia="zh-CN"/>
                    </w:rPr>
                    <w:t>。</w:t>
                  </w:r>
                </w:p>
              </w:tc>
              <w:tc>
                <w:tcPr>
                  <w:tcW w:w="368" w:type="pct"/>
                  <w:vAlign w:val="center"/>
                </w:tcPr>
                <w:p w14:paraId="6AC910F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olor w:val="auto"/>
                      <w:highlight w:val="none"/>
                    </w:rPr>
                  </w:pPr>
                  <w:r>
                    <w:rPr>
                      <w:rFonts w:hint="default" w:ascii="Times New Roman" w:hAnsi="Times New Roman" w:cs="Times New Roman"/>
                      <w:color w:val="auto"/>
                      <w:highlight w:val="none"/>
                      <w:lang w:val="en-US" w:eastAsia="zh-CN"/>
                    </w:rPr>
                    <w:t>符合</w:t>
                  </w:r>
                </w:p>
              </w:tc>
            </w:tr>
            <w:tr w14:paraId="1097CD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779" w:type="pct"/>
                  <w:vAlign w:val="center"/>
                </w:tcPr>
                <w:p w14:paraId="09C13A33">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color w:val="auto"/>
                      <w:highlight w:val="none"/>
                    </w:rPr>
                  </w:pPr>
                  <w:r>
                    <w:rPr>
                      <w:rFonts w:hint="eastAsia"/>
                      <w:color w:val="auto"/>
                      <w:highlight w:val="none"/>
                      <w:lang w:eastAsia="zh-CN"/>
                    </w:rPr>
                    <w:t>《省生态环境厅关于加强重点管控新污染物及优先控制化学品环境管理工作的通知》（苏环办〔2023〕314号）</w:t>
                  </w:r>
                </w:p>
              </w:tc>
              <w:tc>
                <w:tcPr>
                  <w:tcW w:w="2870" w:type="pct"/>
                  <w:vAlign w:val="center"/>
                </w:tcPr>
                <w:p w14:paraId="3E786EA5">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rFonts w:hint="eastAsia"/>
                      <w:color w:val="auto"/>
                      <w:highlight w:val="none"/>
                      <w:lang w:val="en-US" w:eastAsia="zh-CN"/>
                    </w:rPr>
                  </w:pPr>
                  <w:r>
                    <w:rPr>
                      <w:rFonts w:hint="eastAsia" w:ascii="Times New Roman" w:hAnsi="Times New Roman" w:eastAsia="宋体" w:cs="Times New Roman"/>
                      <w:color w:val="auto"/>
                      <w:kern w:val="0"/>
                      <w:sz w:val="21"/>
                      <w:szCs w:val="24"/>
                      <w:lang w:val="en-US" w:eastAsia="zh-CN" w:bidi="ar-SA"/>
                    </w:rPr>
                    <w:t>一、</w:t>
                  </w:r>
                  <w:r>
                    <w:rPr>
                      <w:rFonts w:hint="eastAsia"/>
                      <w:color w:val="auto"/>
                      <w:highlight w:val="none"/>
                      <w:lang w:val="en-US" w:eastAsia="zh-CN"/>
                    </w:rPr>
                    <w:t>落实《重点管控新污染物清单》环境风险管控措施。</w:t>
                  </w:r>
                </w:p>
                <w:p w14:paraId="2A91E12D">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rFonts w:hint="eastAsia"/>
                      <w:color w:val="auto"/>
                      <w:highlight w:val="none"/>
                      <w:lang w:val="en-US" w:eastAsia="zh-CN"/>
                    </w:rPr>
                  </w:pPr>
                  <w:r>
                    <w:rPr>
                      <w:rFonts w:hint="eastAsia" w:ascii="Times New Roman" w:hAnsi="Times New Roman" w:eastAsia="宋体" w:cs="Times New Roman"/>
                      <w:color w:val="auto"/>
                      <w:kern w:val="0"/>
                      <w:sz w:val="21"/>
                      <w:szCs w:val="24"/>
                      <w:lang w:val="en-US" w:eastAsia="zh-CN" w:bidi="ar-SA"/>
                    </w:rPr>
                    <w:t>二、</w:t>
                  </w:r>
                  <w:r>
                    <w:rPr>
                      <w:rFonts w:hint="eastAsia"/>
                      <w:color w:val="auto"/>
                      <w:highlight w:val="none"/>
                      <w:lang w:val="en-US" w:eastAsia="zh-CN"/>
                    </w:rPr>
                    <w:t>落实《优先控制化学品名录》环境风险管控措施。</w:t>
                  </w:r>
                </w:p>
                <w:p w14:paraId="332DFADB">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rFonts w:hint="eastAsia"/>
                      <w:color w:val="auto"/>
                      <w:highlight w:val="none"/>
                      <w:lang w:val="en-US" w:eastAsia="zh-CN"/>
                    </w:rPr>
                  </w:pPr>
                  <w:r>
                    <w:rPr>
                      <w:rFonts w:hint="eastAsia" w:ascii="Times New Roman" w:hAnsi="Times New Roman" w:eastAsia="宋体" w:cs="Times New Roman"/>
                      <w:color w:val="auto"/>
                      <w:kern w:val="0"/>
                      <w:sz w:val="21"/>
                      <w:szCs w:val="24"/>
                      <w:lang w:val="en-US" w:eastAsia="zh-CN" w:bidi="ar-SA"/>
                    </w:rPr>
                    <w:t>三、</w:t>
                  </w:r>
                  <w:r>
                    <w:rPr>
                      <w:rFonts w:hint="eastAsia"/>
                      <w:color w:val="auto"/>
                      <w:highlight w:val="none"/>
                      <w:lang w:val="en-US" w:eastAsia="zh-CN"/>
                    </w:rPr>
                    <w:t>落实《有毒有害水污染物名录》《有毒有害大气污染物名录》要求。</w:t>
                  </w:r>
                </w:p>
                <w:p w14:paraId="1F084495">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color w:val="auto"/>
                      <w:highlight w:val="none"/>
                    </w:rPr>
                  </w:pPr>
                  <w:r>
                    <w:rPr>
                      <w:rFonts w:hint="eastAsia" w:ascii="Times New Roman" w:hAnsi="Times New Roman" w:eastAsia="宋体" w:cs="Times New Roman"/>
                      <w:color w:val="auto"/>
                      <w:kern w:val="0"/>
                      <w:sz w:val="21"/>
                      <w:szCs w:val="24"/>
                      <w:lang w:val="en-US" w:eastAsia="zh-CN" w:bidi="ar-SA"/>
                    </w:rPr>
                    <w:t>四、</w:t>
                  </w:r>
                  <w:r>
                    <w:rPr>
                      <w:rFonts w:hint="eastAsia"/>
                      <w:color w:val="auto"/>
                      <w:highlight w:val="none"/>
                      <w:lang w:val="en-US" w:eastAsia="zh-CN"/>
                    </w:rPr>
                    <w:t>加强新化学物质环境管理。</w:t>
                  </w:r>
                </w:p>
              </w:tc>
              <w:tc>
                <w:tcPr>
                  <w:tcW w:w="981" w:type="pct"/>
                  <w:vAlign w:val="center"/>
                </w:tcPr>
                <w:p w14:paraId="0EC172EB">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olor w:val="auto"/>
                      <w:highlight w:val="none"/>
                      <w:lang w:val="en-US"/>
                    </w:rPr>
                  </w:pPr>
                  <w:r>
                    <w:rPr>
                      <w:rFonts w:hint="eastAsia" w:cs="Times New Roman"/>
                      <w:color w:val="auto"/>
                      <w:highlight w:val="none"/>
                      <w:lang w:val="en-US" w:eastAsia="zh-CN"/>
                    </w:rPr>
                    <w:t>对照《重点管控新污染物清单（2023年版）》</w:t>
                  </w:r>
                  <w:r>
                    <w:rPr>
                      <w:rFonts w:hint="eastAsia"/>
                      <w:color w:val="auto"/>
                      <w:highlight w:val="none"/>
                      <w:lang w:val="en-US" w:eastAsia="zh-CN"/>
                    </w:rPr>
                    <w:t>《有毒有害水污染物名录》《有毒有害大气污染物名录》，本项目不涉及上述管控污染物的使用</w:t>
                  </w:r>
                </w:p>
              </w:tc>
              <w:tc>
                <w:tcPr>
                  <w:tcW w:w="368" w:type="pct"/>
                  <w:vAlign w:val="center"/>
                </w:tcPr>
                <w:p w14:paraId="5732B50A">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olor w:val="auto"/>
                      <w:highlight w:val="none"/>
                    </w:rPr>
                  </w:pPr>
                  <w:r>
                    <w:rPr>
                      <w:rFonts w:hint="default" w:ascii="Times New Roman" w:hAnsi="Times New Roman" w:cs="Times New Roman"/>
                      <w:color w:val="auto"/>
                      <w:highlight w:val="none"/>
                      <w:lang w:val="en-US" w:eastAsia="zh-CN"/>
                    </w:rPr>
                    <w:t>符合</w:t>
                  </w:r>
                </w:p>
              </w:tc>
            </w:tr>
            <w:tr w14:paraId="45571A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 w:type="pct"/>
                  <w:vAlign w:val="center"/>
                </w:tcPr>
                <w:p w14:paraId="5876F889">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color w:val="auto"/>
                      <w:highlight w:val="none"/>
                    </w:rPr>
                  </w:pPr>
                  <w:r>
                    <w:rPr>
                      <w:rFonts w:hint="eastAsia"/>
                      <w:color w:val="auto"/>
                      <w:highlight w:val="none"/>
                      <w:lang w:val="en-US" w:eastAsia="zh-CN"/>
                    </w:rPr>
                    <w:t>《关于加强重点行业涉新污染物建设项目环境影响评价工作的意见》（环环评〔2025〕28号）</w:t>
                  </w:r>
                </w:p>
              </w:tc>
              <w:tc>
                <w:tcPr>
                  <w:tcW w:w="2870" w:type="pct"/>
                  <w:vAlign w:val="center"/>
                </w:tcPr>
                <w:p w14:paraId="35C14873">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rFonts w:hint="eastAsia"/>
                      <w:color w:val="auto"/>
                      <w:highlight w:val="none"/>
                      <w:lang w:val="en-US" w:eastAsia="zh-CN"/>
                    </w:rPr>
                  </w:pPr>
                  <w:r>
                    <w:rPr>
                      <w:rFonts w:hint="eastAsia" w:ascii="Times New Roman" w:hAnsi="Times New Roman" w:eastAsia="宋体" w:cs="Times New Roman"/>
                      <w:color w:val="auto"/>
                      <w:kern w:val="0"/>
                      <w:sz w:val="21"/>
                      <w:szCs w:val="24"/>
                      <w:lang w:val="en-US" w:eastAsia="zh-CN" w:bidi="ar-SA"/>
                    </w:rPr>
                    <w:t>二、</w:t>
                  </w:r>
                  <w:r>
                    <w:rPr>
                      <w:rFonts w:hint="eastAsia"/>
                      <w:color w:val="auto"/>
                      <w:highlight w:val="none"/>
                      <w:lang w:val="en-US" w:eastAsia="zh-CN"/>
                    </w:rPr>
                    <w:t>禁止审批不符合新污染物管控要求的建设项目</w:t>
                  </w:r>
                </w:p>
                <w:p w14:paraId="732B3E7A">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default"/>
                      <w:color w:val="auto"/>
                      <w:highlight w:val="none"/>
                      <w:lang w:val="en-US" w:eastAsia="zh-CN"/>
                    </w:rPr>
                  </w:pPr>
                  <w:r>
                    <w:rPr>
                      <w:rFonts w:hint="default"/>
                      <w:color w:val="auto"/>
                      <w:highlight w:val="none"/>
                      <w:lang w:val="en-US" w:eastAsia="zh-CN"/>
                    </w:rPr>
                    <w:t>各级环评审批部门在受理和审批建设项目环评文件时，应落实重点管控新污染物清单、产业结构调整指导目录、《斯德哥尔摩公约》、生态环境分区管控方案和项目所在园区规划环评等有关管控要求。对照不予审批环评的项目类别</w:t>
                  </w:r>
                  <w:r>
                    <w:rPr>
                      <w:rFonts w:hint="eastAsia"/>
                      <w:color w:val="auto"/>
                      <w:highlight w:val="none"/>
                      <w:lang w:val="en-US" w:eastAsia="zh-CN"/>
                    </w:rPr>
                    <w:t>（</w:t>
                  </w:r>
                  <w:r>
                    <w:rPr>
                      <w:rFonts w:hint="default"/>
                      <w:color w:val="auto"/>
                      <w:highlight w:val="none"/>
                      <w:lang w:val="en-US" w:eastAsia="zh-CN"/>
                    </w:rPr>
                    <w:t>见附表</w:t>
                  </w:r>
                  <w:r>
                    <w:rPr>
                      <w:rFonts w:hint="eastAsia"/>
                      <w:color w:val="auto"/>
                      <w:highlight w:val="none"/>
                      <w:lang w:val="en-US" w:eastAsia="zh-CN"/>
                    </w:rPr>
                    <w:t>）</w:t>
                  </w:r>
                  <w:r>
                    <w:rPr>
                      <w:rFonts w:hint="default"/>
                      <w:color w:val="auto"/>
                      <w:highlight w:val="none"/>
                      <w:lang w:val="en-US" w:eastAsia="zh-CN"/>
                    </w:rPr>
                    <w:t>，严格审核建设项目原辅材料和产品，对于以禁止生产、加工使用的新污染物作为原辅料或产品的建设项目，依法不予审批。</w:t>
                  </w:r>
                </w:p>
                <w:p w14:paraId="4583241E">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rFonts w:hint="eastAsia"/>
                      <w:color w:val="auto"/>
                      <w:highlight w:val="none"/>
                      <w:lang w:val="en-US" w:eastAsia="zh-CN"/>
                    </w:rPr>
                  </w:pPr>
                  <w:r>
                    <w:rPr>
                      <w:rFonts w:hint="eastAsia" w:ascii="Times New Roman" w:hAnsi="Times New Roman" w:eastAsia="宋体" w:cs="Times New Roman"/>
                      <w:color w:val="auto"/>
                      <w:kern w:val="0"/>
                      <w:sz w:val="21"/>
                      <w:szCs w:val="24"/>
                      <w:lang w:val="en-US" w:eastAsia="zh-CN" w:bidi="ar-SA"/>
                    </w:rPr>
                    <w:t>三、</w:t>
                  </w:r>
                  <w:r>
                    <w:rPr>
                      <w:rFonts w:hint="eastAsia"/>
                      <w:color w:val="auto"/>
                      <w:highlight w:val="none"/>
                      <w:lang w:val="en-US" w:eastAsia="zh-CN"/>
                    </w:rPr>
                    <w:t>加强重点行业涉新污染物建设项目环评</w:t>
                  </w:r>
                </w:p>
                <w:p w14:paraId="74DFC980">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eastAsia"/>
                      <w:color w:val="auto"/>
                      <w:highlight w:val="none"/>
                      <w:lang w:val="en-US" w:eastAsia="zh-CN"/>
                    </w:rPr>
                  </w:pPr>
                  <w:r>
                    <w:rPr>
                      <w:rFonts w:hint="eastAsia"/>
                      <w:color w:val="auto"/>
                      <w:highlight w:val="none"/>
                      <w:lang w:val="en-US" w:eastAsia="zh-CN"/>
                    </w:rPr>
                    <w:t>（一）优化原料、工艺和治理措施，从源头减少新污染物产生。</w:t>
                  </w:r>
                </w:p>
                <w:p w14:paraId="2A523810">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eastAsia"/>
                      <w:color w:val="auto"/>
                      <w:highlight w:val="none"/>
                      <w:lang w:val="en-US" w:eastAsia="zh-CN"/>
                    </w:rPr>
                  </w:pPr>
                  <w:r>
                    <w:rPr>
                      <w:rFonts w:hint="eastAsia"/>
                      <w:color w:val="auto"/>
                      <w:highlight w:val="none"/>
                      <w:lang w:val="en-US" w:eastAsia="zh-CN"/>
                    </w:rPr>
                    <w:t>（二）核算新污染物产排污情况。</w:t>
                  </w:r>
                </w:p>
                <w:p w14:paraId="41175966">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eastAsia"/>
                      <w:color w:val="auto"/>
                      <w:highlight w:val="none"/>
                      <w:lang w:val="en-US" w:eastAsia="zh-CN"/>
                    </w:rPr>
                  </w:pPr>
                  <w:r>
                    <w:rPr>
                      <w:rFonts w:hint="eastAsia"/>
                      <w:color w:val="auto"/>
                      <w:highlight w:val="none"/>
                      <w:lang w:val="en-US" w:eastAsia="zh-CN"/>
                    </w:rPr>
                    <w:t>（三）对已发布污染物排放标准的新污染物严格排放达标要求。</w:t>
                  </w:r>
                </w:p>
                <w:p w14:paraId="03CE5B2B">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eastAsia"/>
                      <w:color w:val="auto"/>
                      <w:highlight w:val="none"/>
                      <w:lang w:val="en-US" w:eastAsia="zh-CN"/>
                    </w:rPr>
                  </w:pPr>
                  <w:r>
                    <w:rPr>
                      <w:rFonts w:hint="eastAsia"/>
                      <w:color w:val="auto"/>
                      <w:highlight w:val="none"/>
                      <w:lang w:val="en-US" w:eastAsia="zh-CN"/>
                    </w:rPr>
                    <w:t>（四）对环境质量标准规定的新污染物做好环境质量现状和影响评价。</w:t>
                  </w:r>
                </w:p>
                <w:p w14:paraId="77BB9DAD">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jc w:val="both"/>
                    <w:textAlignment w:val="auto"/>
                    <w:rPr>
                      <w:rFonts w:hint="eastAsia"/>
                      <w:color w:val="auto"/>
                      <w:highlight w:val="none"/>
                      <w:lang w:val="en-US" w:eastAsia="zh-CN"/>
                    </w:rPr>
                  </w:pPr>
                  <w:r>
                    <w:rPr>
                      <w:rFonts w:hint="eastAsia"/>
                      <w:color w:val="auto"/>
                      <w:highlight w:val="none"/>
                      <w:lang w:val="en-US" w:eastAsia="zh-CN"/>
                    </w:rPr>
                    <w:t>（五）强化新污染物排放情况跟踪监测。</w:t>
                  </w:r>
                </w:p>
                <w:p w14:paraId="6770F30C">
                  <w:pPr>
                    <w:pStyle w:val="48"/>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rPr>
                      <w:color w:val="auto"/>
                      <w:highlight w:val="none"/>
                    </w:rPr>
                  </w:pPr>
                  <w:r>
                    <w:rPr>
                      <w:rFonts w:hint="eastAsia"/>
                      <w:color w:val="auto"/>
                      <w:highlight w:val="none"/>
                      <w:lang w:val="en-US" w:eastAsia="zh-CN"/>
                    </w:rPr>
                    <w:t>（六）提出新化学物质环境管理登记要求。</w:t>
                  </w:r>
                </w:p>
              </w:tc>
              <w:tc>
                <w:tcPr>
                  <w:tcW w:w="981" w:type="pct"/>
                  <w:vAlign w:val="center"/>
                </w:tcPr>
                <w:p w14:paraId="12B093CC">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olor w:val="auto"/>
                      <w:highlight w:val="none"/>
                      <w:lang w:val="en-US"/>
                    </w:rPr>
                  </w:pPr>
                  <w:r>
                    <w:rPr>
                      <w:rFonts w:hint="eastAsia" w:cs="Times New Roman"/>
                      <w:color w:val="auto"/>
                      <w:highlight w:val="none"/>
                      <w:lang w:val="en-US" w:eastAsia="zh-CN"/>
                    </w:rPr>
                    <w:t>本项目不涉及使用新污染物</w:t>
                  </w:r>
                </w:p>
              </w:tc>
              <w:tc>
                <w:tcPr>
                  <w:tcW w:w="368" w:type="pct"/>
                  <w:vAlign w:val="center"/>
                </w:tcPr>
                <w:p w14:paraId="5DED70A6">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olor w:val="auto"/>
                      <w:highlight w:val="none"/>
                    </w:rPr>
                  </w:pPr>
                  <w:r>
                    <w:rPr>
                      <w:rFonts w:hint="default" w:ascii="Times New Roman" w:hAnsi="Times New Roman" w:cs="Times New Roman"/>
                      <w:color w:val="auto"/>
                      <w:highlight w:val="none"/>
                      <w:lang w:val="en-US" w:eastAsia="zh-CN"/>
                    </w:rPr>
                    <w:t>符合</w:t>
                  </w:r>
                </w:p>
              </w:tc>
            </w:tr>
          </w:tbl>
          <w:p w14:paraId="0A49FD6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35283E7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A8F192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8596A01">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AC034D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0DD3D88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1006D154">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1C59E85B">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27151FA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40849B6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10BBA0E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4558CBB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3328FE0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AD0FE4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C52E1C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43E779B">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0312875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6D8F0B5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7DA3A08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2914679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2FABCCC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highlight w:val="none"/>
                <w:vertAlign w:val="baseline"/>
              </w:rPr>
            </w:pPr>
          </w:p>
          <w:p w14:paraId="00FADA42">
            <w:pPr>
              <w:ind w:left="0" w:leftChars="0" w:firstLine="0" w:firstLineChars="0"/>
              <w:rPr>
                <w:color w:val="auto"/>
                <w:highlight w:val="none"/>
                <w:vertAlign w:val="baseline"/>
              </w:rPr>
            </w:pPr>
          </w:p>
        </w:tc>
      </w:tr>
    </w:tbl>
    <w:p w14:paraId="4479537C">
      <w:pPr>
        <w:rPr>
          <w:rFonts w:eastAsia="黑体"/>
          <w:color w:val="auto"/>
          <w:sz w:val="30"/>
          <w:highlight w:val="none"/>
        </w:rPr>
      </w:pPr>
    </w:p>
    <w:p w14:paraId="6F71E366">
      <w:pPr>
        <w:pStyle w:val="12"/>
        <w:rPr>
          <w:rFonts w:eastAsia="黑体"/>
          <w:color w:val="auto"/>
          <w:sz w:val="30"/>
          <w:highlight w:val="none"/>
        </w:rPr>
        <w:sectPr>
          <w:pgSz w:w="16838" w:h="11906" w:orient="landscape"/>
          <w:pgMar w:top="1531" w:right="1701" w:bottom="1531" w:left="1701" w:header="851" w:footer="1077" w:gutter="0"/>
          <w:pgBorders>
            <w:top w:val="none" w:sz="0" w:space="0"/>
            <w:left w:val="none" w:sz="0" w:space="0"/>
            <w:bottom w:val="none" w:sz="0" w:space="0"/>
            <w:right w:val="none" w:sz="0" w:space="0"/>
          </w:pgBorders>
          <w:pgNumType w:fmt="decimal"/>
          <w:cols w:space="0" w:num="1"/>
          <w:rtlGutter w:val="0"/>
          <w:docGrid w:linePitch="312" w:charSpace="0"/>
        </w:sect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
        <w:gridCol w:w="8339"/>
      </w:tblGrid>
      <w:tr w14:paraId="3952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dxa"/>
          </w:tcPr>
          <w:p w14:paraId="7C78B226">
            <w:pPr>
              <w:rPr>
                <w:color w:val="auto"/>
                <w:highlight w:val="none"/>
                <w:vertAlign w:val="baseline"/>
              </w:rPr>
            </w:pPr>
          </w:p>
        </w:tc>
        <w:tc>
          <w:tcPr>
            <w:tcW w:w="8557" w:type="dxa"/>
          </w:tcPr>
          <w:p w14:paraId="70181B8A">
            <w:pPr>
              <w:ind w:firstLine="482"/>
              <w:rPr>
                <w:b/>
                <w:bCs/>
                <w:color w:val="auto"/>
                <w:highlight w:val="none"/>
              </w:rPr>
            </w:pPr>
            <w:r>
              <w:rPr>
                <w:rFonts w:hint="eastAsia"/>
                <w:b/>
                <w:bCs/>
                <w:color w:val="auto"/>
                <w:highlight w:val="none"/>
                <w:lang w:val="en-US" w:eastAsia="zh-CN"/>
              </w:rPr>
              <w:t>7.</w:t>
            </w:r>
            <w:r>
              <w:rPr>
                <w:b/>
                <w:bCs/>
                <w:color w:val="auto"/>
                <w:highlight w:val="none"/>
              </w:rPr>
              <w:t>安全风险辨识内容</w:t>
            </w:r>
          </w:p>
          <w:p w14:paraId="6D72F7F0">
            <w:pPr>
              <w:ind w:firstLine="480"/>
              <w:rPr>
                <w:color w:val="auto"/>
                <w:highlight w:val="none"/>
              </w:rPr>
            </w:pPr>
            <w:r>
              <w:rPr>
                <w:color w:val="auto"/>
                <w:highlight w:val="none"/>
              </w:rPr>
              <w:t>根据《关于做好生态环境和应急管理部门联动工作的意见》</w:t>
            </w:r>
            <w:r>
              <w:rPr>
                <w:rFonts w:hint="eastAsia"/>
                <w:color w:val="auto"/>
                <w:highlight w:val="none"/>
              </w:rPr>
              <w:t>（</w:t>
            </w:r>
            <w:r>
              <w:rPr>
                <w:color w:val="auto"/>
                <w:highlight w:val="none"/>
              </w:rPr>
              <w:t>苏环办</w:t>
            </w:r>
            <w:r>
              <w:rPr>
                <w:rFonts w:hint="eastAsia"/>
                <w:color w:val="auto"/>
                <w:highlight w:val="none"/>
                <w:lang w:eastAsia="zh-CN"/>
              </w:rPr>
              <w:t>〔2020〕101号</w:t>
            </w:r>
            <w:r>
              <w:rPr>
                <w:rFonts w:hint="eastAsia"/>
                <w:color w:val="auto"/>
                <w:highlight w:val="none"/>
              </w:rPr>
              <w:t>）</w:t>
            </w:r>
            <w:r>
              <w:rPr>
                <w:color w:val="auto"/>
                <w:highlight w:val="none"/>
              </w:rPr>
              <w:t>的要求：</w:t>
            </w:r>
          </w:p>
          <w:p w14:paraId="10D7437B">
            <w:pPr>
              <w:ind w:firstLine="480"/>
              <w:rPr>
                <w:color w:val="auto"/>
                <w:highlight w:val="none"/>
              </w:rPr>
            </w:pPr>
            <w:r>
              <w:rPr>
                <w:rFonts w:hint="eastAsia"/>
                <w:color w:val="auto"/>
                <w:highlight w:val="none"/>
              </w:rPr>
              <w:t>“</w:t>
            </w:r>
            <w:r>
              <w:rPr>
                <w:color w:val="auto"/>
                <w:highlight w:val="none"/>
              </w:rPr>
              <w:t>企业要切实履行好</w:t>
            </w:r>
            <w:sdt>
              <w:sdtPr>
                <w:rPr>
                  <w:color w:val="auto"/>
                </w:rPr>
                <w:alias w:val="语法错误"/>
                <w:tag w:val="reviewtag_0000FF"/>
                <w:id w:val="133423"/>
              </w:sdtPr>
              <w:sdtEndPr>
                <w:rPr>
                  <w:color w:val="auto"/>
                </w:rPr>
              </w:sdtEndPr>
              <w:sdtContent>
                <w:bookmarkStart w:id="80" w:name="bkReivew133423"/>
                <w:r>
                  <w:rPr>
                    <w:color w:val="auto"/>
                    <w:highlight w:val="none"/>
                  </w:rPr>
                  <w:t>从</w:t>
                </w:r>
                <w:bookmarkEnd w:id="80"/>
              </w:sdtContent>
            </w:sdt>
            <w:r>
              <w:rPr>
                <w:color w:val="auto"/>
                <w:highlight w:val="none"/>
              </w:rPr>
              <w:t>危险废物产生、收集、贮存、运输、利用、处置等环节各项环保和安全职责；要</w:t>
            </w:r>
            <w:r>
              <w:rPr>
                <w:rFonts w:hint="eastAsia"/>
                <w:color w:val="auto"/>
                <w:highlight w:val="none"/>
                <w:lang w:eastAsia="zh-CN"/>
              </w:rPr>
              <w:t>制定</w:t>
            </w:r>
            <w:r>
              <w:rPr>
                <w:color w:val="auto"/>
                <w:highlight w:val="none"/>
              </w:rPr>
              <w:t>危险废物管理计划并报属地生态环境部门备案。申请备案时，对废弃危险化学品、物理危险性尚不确定、根据相关文件无法认定达到稳定化要求的，要提供有资质单位出具的化学品物理危险性报告及其他证明材料，认定达到稳定化要求。企业要对脱硫脱硝、煤改气、挥发性有机物回收、污水处理、粉尘治理、RTO焚烧炉等六类环境治理设施开展安全风险辨识管控，要健全内部污染防治措施稳定运行和管理责任制度，严格依据标准规范建设环境治理设施，确保环境治理设施安全、稳定、有效运行。</w:t>
            </w:r>
            <w:r>
              <w:rPr>
                <w:rFonts w:hint="eastAsia"/>
                <w:color w:val="auto"/>
                <w:highlight w:val="none"/>
              </w:rPr>
              <w:t>”</w:t>
            </w:r>
          </w:p>
          <w:p w14:paraId="690B88B9">
            <w:pPr>
              <w:ind w:firstLine="480"/>
              <w:rPr>
                <w:rFonts w:hint="eastAsia"/>
                <w:color w:val="auto"/>
                <w:highlight w:val="none"/>
              </w:rPr>
            </w:pPr>
            <w:r>
              <w:rPr>
                <w:rFonts w:hint="eastAsia"/>
                <w:color w:val="auto"/>
                <w:highlight w:val="none"/>
                <w:lang w:val="en-US" w:eastAsia="zh-CN"/>
              </w:rPr>
              <w:t>本项目</w:t>
            </w:r>
            <w:r>
              <w:rPr>
                <w:color w:val="auto"/>
                <w:highlight w:val="none"/>
              </w:rPr>
              <w:t>不涉及</w:t>
            </w:r>
            <w:r>
              <w:rPr>
                <w:rFonts w:hint="eastAsia"/>
                <w:color w:val="auto"/>
                <w:highlight w:val="none"/>
              </w:rPr>
              <w:t>“</w:t>
            </w:r>
            <w:r>
              <w:rPr>
                <w:color w:val="auto"/>
                <w:highlight w:val="none"/>
              </w:rPr>
              <w:t>脱硫脱硝、煤改气、挥发性有机物回收、粉尘治理、RTO焚烧炉</w:t>
            </w:r>
            <w:r>
              <w:rPr>
                <w:rFonts w:hint="eastAsia"/>
                <w:color w:val="auto"/>
                <w:highlight w:val="none"/>
              </w:rPr>
              <w:t>”</w:t>
            </w:r>
            <w:r>
              <w:rPr>
                <w:color w:val="auto"/>
                <w:highlight w:val="none"/>
              </w:rPr>
              <w:t>环境治理设施</w:t>
            </w:r>
            <w:r>
              <w:rPr>
                <w:rFonts w:hint="eastAsia"/>
                <w:color w:val="auto"/>
                <w:highlight w:val="none"/>
                <w:lang w:eastAsia="zh-CN"/>
              </w:rPr>
              <w:t>，</w:t>
            </w:r>
            <w:r>
              <w:rPr>
                <w:color w:val="auto"/>
                <w:highlight w:val="none"/>
              </w:rPr>
              <w:t>涉及</w:t>
            </w:r>
            <w:r>
              <w:rPr>
                <w:rFonts w:hint="eastAsia"/>
                <w:color w:val="auto"/>
                <w:highlight w:val="none"/>
              </w:rPr>
              <w:t>“污水处理”</w:t>
            </w:r>
            <w:r>
              <w:rPr>
                <w:color w:val="auto"/>
                <w:highlight w:val="none"/>
              </w:rPr>
              <w:t>环境治理设施</w:t>
            </w:r>
            <w:r>
              <w:rPr>
                <w:rFonts w:hint="eastAsia"/>
                <w:color w:val="auto"/>
                <w:highlight w:val="none"/>
              </w:rPr>
              <w:t>。</w:t>
            </w:r>
          </w:p>
          <w:p w14:paraId="3BBDAD82">
            <w:pPr>
              <w:ind w:firstLine="480"/>
              <w:rPr>
                <w:rFonts w:hint="eastAsia"/>
                <w:color w:val="auto"/>
                <w:highlight w:val="none"/>
              </w:rPr>
            </w:pPr>
            <w:r>
              <w:rPr>
                <w:rFonts w:hint="default"/>
                <w:color w:val="auto"/>
                <w:highlight w:val="none"/>
              </w:rPr>
              <w:t>本环评要求</w:t>
            </w:r>
            <w:r>
              <w:rPr>
                <w:rFonts w:hint="eastAsia"/>
                <w:color w:val="auto"/>
                <w:highlight w:val="none"/>
                <w:lang w:val="zh-CN"/>
              </w:rPr>
              <w:t>企业</w:t>
            </w:r>
            <w:r>
              <w:rPr>
                <w:rFonts w:hint="default"/>
                <w:color w:val="auto"/>
                <w:highlight w:val="none"/>
              </w:rPr>
              <w:t>按该文件要求在运营过程中切实履行好自身主体责任，配合相关部门积极</w:t>
            </w:r>
            <w:sdt>
              <w:sdtPr>
                <w:rPr>
                  <w:color w:val="auto"/>
                </w:rPr>
                <w:alias w:val="语法错误"/>
                <w:tag w:val="reviewtag_0000FF"/>
                <w:id w:val="101556"/>
              </w:sdtPr>
              <w:sdtEndPr>
                <w:rPr>
                  <w:color w:val="auto"/>
                </w:rPr>
              </w:sdtEndPr>
              <w:sdtContent>
                <w:bookmarkStart w:id="81" w:name="bkReivew101556"/>
                <w:r>
                  <w:rPr>
                    <w:rFonts w:hint="default"/>
                    <w:color w:val="auto"/>
                    <w:highlight w:val="none"/>
                  </w:rPr>
                  <w:t>有效</w:t>
                </w:r>
                <w:bookmarkEnd w:id="81"/>
              </w:sdtContent>
            </w:sdt>
            <w:r>
              <w:rPr>
                <w:rFonts w:hint="default"/>
                <w:color w:val="auto"/>
                <w:highlight w:val="none"/>
              </w:rPr>
              <w:t>开展环境保护和应急管理工作。</w:t>
            </w:r>
          </w:p>
          <w:p w14:paraId="295D4965">
            <w:pPr>
              <w:bidi w:val="0"/>
              <w:rPr>
                <w:rFonts w:hint="default"/>
                <w:color w:val="auto"/>
                <w:highlight w:val="none"/>
                <w:lang w:val="en-US" w:eastAsia="zh-CN"/>
              </w:rPr>
            </w:pPr>
          </w:p>
          <w:p w14:paraId="102700DA">
            <w:pPr>
              <w:bidi w:val="0"/>
              <w:rPr>
                <w:rFonts w:hint="default"/>
                <w:color w:val="auto"/>
                <w:highlight w:val="none"/>
                <w:lang w:val="en-US" w:eastAsia="zh-CN"/>
              </w:rPr>
            </w:pPr>
          </w:p>
          <w:p w14:paraId="360C0500">
            <w:pPr>
              <w:bidi w:val="0"/>
              <w:rPr>
                <w:rFonts w:hint="default"/>
                <w:color w:val="auto"/>
                <w:highlight w:val="none"/>
                <w:lang w:val="en-US" w:eastAsia="zh-CN"/>
              </w:rPr>
            </w:pPr>
          </w:p>
          <w:p w14:paraId="300594D7">
            <w:pPr>
              <w:bidi w:val="0"/>
              <w:rPr>
                <w:rFonts w:hint="default"/>
                <w:color w:val="auto"/>
                <w:highlight w:val="none"/>
                <w:lang w:val="en-US" w:eastAsia="zh-CN"/>
              </w:rPr>
            </w:pPr>
          </w:p>
          <w:p w14:paraId="7793637B">
            <w:pPr>
              <w:bidi w:val="0"/>
              <w:rPr>
                <w:rFonts w:hint="default"/>
                <w:color w:val="auto"/>
                <w:highlight w:val="none"/>
                <w:lang w:val="en-US" w:eastAsia="zh-CN"/>
              </w:rPr>
            </w:pPr>
          </w:p>
          <w:p w14:paraId="7A3E7966">
            <w:pPr>
              <w:bidi w:val="0"/>
              <w:rPr>
                <w:rFonts w:hint="default"/>
                <w:color w:val="auto"/>
                <w:highlight w:val="none"/>
                <w:lang w:val="en-US" w:eastAsia="zh-CN"/>
              </w:rPr>
            </w:pPr>
          </w:p>
          <w:p w14:paraId="33919A0B">
            <w:pPr>
              <w:bidi w:val="0"/>
              <w:rPr>
                <w:rFonts w:hint="default"/>
                <w:color w:val="auto"/>
                <w:highlight w:val="none"/>
                <w:lang w:val="en-US" w:eastAsia="zh-CN"/>
              </w:rPr>
            </w:pPr>
          </w:p>
          <w:p w14:paraId="26342609">
            <w:pPr>
              <w:bidi w:val="0"/>
              <w:rPr>
                <w:rFonts w:hint="default"/>
                <w:color w:val="auto"/>
                <w:highlight w:val="none"/>
                <w:lang w:val="en-US" w:eastAsia="zh-CN"/>
              </w:rPr>
            </w:pPr>
          </w:p>
          <w:p w14:paraId="4497CED3">
            <w:pPr>
              <w:bidi w:val="0"/>
              <w:rPr>
                <w:rFonts w:hint="default"/>
                <w:color w:val="auto"/>
                <w:highlight w:val="none"/>
                <w:lang w:val="en-US" w:eastAsia="zh-CN"/>
              </w:rPr>
            </w:pPr>
          </w:p>
          <w:p w14:paraId="17C97CA7">
            <w:pPr>
              <w:bidi w:val="0"/>
              <w:rPr>
                <w:rFonts w:hint="default"/>
                <w:color w:val="auto"/>
                <w:highlight w:val="none"/>
                <w:lang w:val="en-US" w:eastAsia="zh-CN"/>
              </w:rPr>
            </w:pPr>
          </w:p>
          <w:p w14:paraId="6A9790C8">
            <w:pPr>
              <w:bidi w:val="0"/>
              <w:rPr>
                <w:rFonts w:hint="default"/>
                <w:color w:val="auto"/>
                <w:highlight w:val="none"/>
                <w:lang w:val="en-US" w:eastAsia="zh-CN"/>
              </w:rPr>
            </w:pPr>
          </w:p>
          <w:p w14:paraId="354E98D8">
            <w:pPr>
              <w:bidi w:val="0"/>
              <w:rPr>
                <w:rFonts w:hint="default"/>
                <w:color w:val="auto"/>
                <w:highlight w:val="none"/>
                <w:lang w:val="en-US" w:eastAsia="zh-CN"/>
              </w:rPr>
            </w:pPr>
          </w:p>
          <w:p w14:paraId="752D3E75">
            <w:pPr>
              <w:bidi w:val="0"/>
              <w:rPr>
                <w:rFonts w:hint="default"/>
                <w:color w:val="auto"/>
                <w:highlight w:val="none"/>
                <w:lang w:val="en-US" w:eastAsia="zh-CN"/>
              </w:rPr>
            </w:pPr>
          </w:p>
          <w:p w14:paraId="60B69B16">
            <w:pPr>
              <w:bidi w:val="0"/>
              <w:rPr>
                <w:rFonts w:hint="default"/>
                <w:color w:val="auto"/>
                <w:highlight w:val="none"/>
                <w:lang w:val="en-US" w:eastAsia="zh-CN"/>
              </w:rPr>
            </w:pPr>
          </w:p>
          <w:p w14:paraId="0F789422">
            <w:pPr>
              <w:widowControl w:val="0"/>
              <w:numPr>
                <w:ilvl w:val="0"/>
                <w:numId w:val="0"/>
              </w:numPr>
              <w:bidi w:val="0"/>
              <w:spacing w:line="440" w:lineRule="exact"/>
              <w:jc w:val="both"/>
              <w:rPr>
                <w:rFonts w:hint="default"/>
                <w:color w:val="auto"/>
                <w:highlight w:val="none"/>
                <w:lang w:val="en-US" w:eastAsia="zh-CN"/>
              </w:rPr>
            </w:pPr>
          </w:p>
        </w:tc>
      </w:tr>
    </w:tbl>
    <w:p w14:paraId="2978A3AF">
      <w:pPr>
        <w:rPr>
          <w:color w:val="auto"/>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fmt="decimal"/>
          <w:cols w:space="0" w:num="1"/>
          <w:rtlGutter w:val="0"/>
          <w:docGrid w:linePitch="312" w:charSpace="0"/>
        </w:sectPr>
      </w:pPr>
    </w:p>
    <w:p w14:paraId="7D49FF0A">
      <w:pPr>
        <w:pStyle w:val="29"/>
        <w:numPr>
          <w:ilvl w:val="0"/>
          <w:numId w:val="15"/>
        </w:numPr>
        <w:spacing w:before="0" w:beforeAutospacing="0" w:after="0" w:afterAutospacing="0" w:line="360" w:lineRule="auto"/>
        <w:ind w:firstLine="0" w:firstLineChars="0"/>
        <w:jc w:val="center"/>
        <w:outlineLvl w:val="0"/>
        <w:rPr>
          <w:rFonts w:ascii="Times New Roman" w:hAnsi="Times New Roman" w:eastAsia="黑体"/>
          <w:snapToGrid w:val="0"/>
          <w:color w:val="auto"/>
          <w:sz w:val="30"/>
          <w:szCs w:val="30"/>
          <w:highlight w:val="none"/>
        </w:rPr>
      </w:pPr>
      <w:bookmarkStart w:id="82" w:name="_Toc27511"/>
      <w:r>
        <w:rPr>
          <w:rFonts w:ascii="Times New Roman" w:hAnsi="Times New Roman" w:eastAsia="黑体"/>
          <w:snapToGrid w:val="0"/>
          <w:color w:val="auto"/>
          <w:sz w:val="30"/>
          <w:szCs w:val="30"/>
          <w:highlight w:val="none"/>
        </w:rPr>
        <w:t>建设项目工程分析</w:t>
      </w:r>
      <w:bookmarkEnd w:id="82"/>
      <w:bookmarkStart w:id="83" w:name="pindex460"/>
      <w:bookmarkEnd w:id="83"/>
    </w:p>
    <w:tbl>
      <w:tblPr>
        <w:tblStyle w:val="34"/>
        <w:tblW w:w="5004" w:type="pct"/>
        <w:tblInd w:w="-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8099"/>
      </w:tblGrid>
      <w:tr w14:paraId="3AC7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6" w:hRule="atLeast"/>
        </w:trPr>
        <w:tc>
          <w:tcPr>
            <w:tcW w:w="420" w:type="pct"/>
            <w:vAlign w:val="center"/>
          </w:tcPr>
          <w:p w14:paraId="05D057D2">
            <w:pPr>
              <w:pStyle w:val="29"/>
              <w:adjustRightInd w:val="0"/>
              <w:snapToGrid w:val="0"/>
              <w:spacing w:before="0" w:beforeAutospacing="0" w:after="0" w:afterAutospacing="0" w:line="240" w:lineRule="auto"/>
              <w:ind w:firstLine="0" w:firstLineChars="0"/>
              <w:jc w:val="center"/>
              <w:rPr>
                <w:rFonts w:ascii="Times New Roman" w:hAnsi="Times New Roman"/>
                <w:color w:val="auto"/>
                <w:szCs w:val="24"/>
                <w:highlight w:val="none"/>
              </w:rPr>
            </w:pPr>
            <w:r>
              <w:rPr>
                <w:rFonts w:ascii="Times New Roman" w:hAnsi="Times New Roman"/>
                <w:b/>
                <w:bCs/>
                <w:color w:val="auto"/>
                <w:szCs w:val="24"/>
                <w:highlight w:val="none"/>
              </w:rPr>
              <w:t>建设内容</w:t>
            </w:r>
          </w:p>
        </w:tc>
        <w:tc>
          <w:tcPr>
            <w:tcW w:w="4579" w:type="pct"/>
          </w:tcPr>
          <w:p w14:paraId="2BC7362B">
            <w:pPr>
              <w:ind w:left="480" w:leftChars="200" w:firstLine="0" w:firstLineChars="0"/>
              <w:rPr>
                <w:b/>
                <w:bCs/>
                <w:color w:val="auto"/>
                <w:highlight w:val="none"/>
              </w:rPr>
            </w:pPr>
            <w:r>
              <w:rPr>
                <w:rFonts w:hint="eastAsia"/>
                <w:b/>
                <w:bCs/>
                <w:color w:val="auto"/>
                <w:highlight w:val="none"/>
                <w:lang w:eastAsia="zh-CN"/>
              </w:rPr>
              <w:t>1.</w:t>
            </w:r>
            <w:r>
              <w:rPr>
                <w:b/>
                <w:bCs/>
                <w:color w:val="auto"/>
                <w:highlight w:val="none"/>
              </w:rPr>
              <w:t>项目由来</w:t>
            </w:r>
          </w:p>
          <w:p w14:paraId="40C17EC8">
            <w:pPr>
              <w:bidi w:val="0"/>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南京酷科电子科技</w:t>
            </w:r>
            <w:r>
              <w:rPr>
                <w:rFonts w:hint="eastAsia" w:ascii="Times New Roman" w:hAnsi="Times New Roman" w:eastAsia="宋体" w:cs="Times New Roman"/>
                <w:color w:val="auto"/>
                <w:sz w:val="24"/>
                <w:szCs w:val="24"/>
                <w:highlight w:val="none"/>
                <w:lang w:val="en-US" w:eastAsia="zh-CN"/>
              </w:rPr>
              <w:t>有限公司成立于20</w:t>
            </w:r>
            <w:r>
              <w:rPr>
                <w:rFonts w:hint="eastAsia" w:cs="Times New Roman"/>
                <w:color w:val="auto"/>
                <w:sz w:val="24"/>
                <w:szCs w:val="24"/>
                <w:highlight w:val="none"/>
                <w:lang w:val="en-US" w:eastAsia="zh-CN"/>
              </w:rPr>
              <w:t>16</w:t>
            </w:r>
            <w:r>
              <w:rPr>
                <w:rFonts w:hint="eastAsia" w:ascii="Times New Roman" w:hAnsi="Times New Roman" w:eastAsia="宋体" w:cs="Times New Roman"/>
                <w:color w:val="auto"/>
                <w:sz w:val="24"/>
                <w:szCs w:val="24"/>
                <w:highlight w:val="none"/>
                <w:lang w:val="en-US" w:eastAsia="zh-CN"/>
              </w:rPr>
              <w:t>年</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13</w:t>
            </w:r>
            <w:r>
              <w:rPr>
                <w:rFonts w:hint="eastAsia" w:ascii="Times New Roman" w:hAnsi="Times New Roman" w:eastAsia="宋体" w:cs="Times New Roman"/>
                <w:color w:val="auto"/>
                <w:sz w:val="24"/>
                <w:szCs w:val="24"/>
                <w:highlight w:val="none"/>
                <w:lang w:val="en-US" w:eastAsia="zh-CN"/>
              </w:rPr>
              <w:t>日，注册地址为南京</w:t>
            </w:r>
            <w:r>
              <w:rPr>
                <w:rFonts w:hint="eastAsia" w:cs="Times New Roman"/>
                <w:color w:val="auto"/>
                <w:sz w:val="24"/>
                <w:szCs w:val="24"/>
                <w:lang w:val="en-US" w:eastAsia="zh-CN"/>
              </w:rPr>
              <w:t>经济技术开发区恒泰路8号汇智科技园A1栋16层</w:t>
            </w:r>
            <w:r>
              <w:rPr>
                <w:rFonts w:hint="eastAsia" w:ascii="Times New Roman" w:hAnsi="Times New Roman" w:eastAsia="宋体" w:cs="Times New Roman"/>
                <w:color w:val="auto"/>
                <w:sz w:val="24"/>
                <w:szCs w:val="24"/>
                <w:lang w:val="en-US" w:eastAsia="zh-CN"/>
              </w:rPr>
              <w:t>。</w:t>
            </w:r>
          </w:p>
          <w:p w14:paraId="57489293">
            <w:pPr>
              <w:keepNext w:val="0"/>
              <w:keepLines w:val="0"/>
              <w:widowControl/>
              <w:suppressLineNumbers w:val="0"/>
              <w:jc w:val="left"/>
              <w:rPr>
                <w:rFonts w:hint="eastAsia" w:ascii="Times New Roman" w:hAnsi="Times New Roman" w:cs="Times New Roman"/>
                <w:color w:val="auto"/>
                <w:highlight w:val="none"/>
              </w:rPr>
            </w:pPr>
            <w:r>
              <w:rPr>
                <w:rFonts w:hint="eastAsia" w:cs="Times New Roman"/>
                <w:color w:val="auto"/>
                <w:sz w:val="24"/>
                <w:szCs w:val="24"/>
                <w:lang w:val="en-US" w:eastAsia="zh-CN"/>
              </w:rPr>
              <w:t>南京酷科电子科技</w:t>
            </w:r>
            <w:r>
              <w:rPr>
                <w:rFonts w:hint="eastAsia" w:ascii="Times New Roman" w:hAnsi="Times New Roman" w:eastAsia="宋体" w:cs="Times New Roman"/>
                <w:color w:val="auto"/>
                <w:sz w:val="24"/>
                <w:szCs w:val="24"/>
                <w:lang w:val="en-US" w:eastAsia="zh-CN"/>
              </w:rPr>
              <w:t>有限公司</w:t>
            </w:r>
            <w:r>
              <w:rPr>
                <w:rFonts w:hint="eastAsia" w:cs="Times New Roman"/>
                <w:color w:val="auto"/>
                <w:highlight w:val="none"/>
                <w:lang w:val="en-US" w:eastAsia="zh-CN"/>
              </w:rPr>
              <w:t>拟投资430万元，租赁南京空港新动能建设发展有限公司位于南京市江宁经济技术开发区横溪街道乐园路7号的现有厂房，建设移动电源设备生产项目。企业拟</w:t>
            </w:r>
            <w:r>
              <w:rPr>
                <w:rFonts w:hint="eastAsia" w:ascii="Times New Roman" w:hAnsi="Times New Roman" w:cs="Times New Roman"/>
                <w:color w:val="auto"/>
                <w:highlight w:val="none"/>
                <w:lang w:val="en-US" w:eastAsia="zh-CN"/>
              </w:rPr>
              <w:t>购置电池测试仪、高温箱等国产设备31套，建设1条移动电源设备生产线，并对厂房进行装修改造。项目完成后，形成年产12万只移动电源设备。</w:t>
            </w:r>
            <w:r>
              <w:rPr>
                <w:rFonts w:hint="eastAsia" w:cs="Times New Roman"/>
                <w:color w:val="auto"/>
                <w:szCs w:val="22"/>
                <w:highlight w:val="none"/>
                <w:lang w:val="en-US" w:eastAsia="zh-CN"/>
              </w:rPr>
              <w:t>该项目已取得</w:t>
            </w:r>
            <w:r>
              <w:rPr>
                <w:rFonts w:hint="eastAsia"/>
                <w:color w:val="auto"/>
                <w:highlight w:val="none"/>
              </w:rPr>
              <w:t>南京江</w:t>
            </w:r>
            <w:r>
              <w:rPr>
                <w:rFonts w:hint="eastAsia" w:ascii="Times New Roman" w:hAnsi="Times New Roman" w:cs="Times New Roman"/>
                <w:color w:val="auto"/>
                <w:highlight w:val="none"/>
              </w:rPr>
              <w:t>宁经济技术开发区管理委员会政务服务中心备案（项目代码：</w:t>
            </w:r>
            <w:r>
              <w:rPr>
                <w:rFonts w:hint="eastAsia" w:ascii="Times New Roman" w:hAnsi="Times New Roman" w:cs="Times New Roman"/>
                <w:color w:val="auto"/>
                <w:highlight w:val="none"/>
                <w:lang w:val="en-US" w:eastAsia="zh-CN"/>
              </w:rPr>
              <w:t>2607-320156-89-01-732880</w:t>
            </w:r>
            <w:r>
              <w:rPr>
                <w:rFonts w:hint="eastAsia" w:cs="Times New Roman"/>
                <w:color w:val="auto"/>
                <w:highlight w:val="none"/>
                <w:lang w:val="en-US" w:eastAsia="zh-CN"/>
              </w:rPr>
              <w:t>，备案文号：</w:t>
            </w:r>
            <w:r>
              <w:rPr>
                <w:rFonts w:hint="eastAsia" w:ascii="Times New Roman" w:hAnsi="Times New Roman" w:cs="Times New Roman"/>
                <w:color w:val="auto"/>
                <w:highlight w:val="none"/>
                <w:lang w:val="en-US" w:eastAsia="zh-CN"/>
              </w:rPr>
              <w:t>宁经政服备〔20</w:t>
            </w:r>
            <w:r>
              <w:rPr>
                <w:rFonts w:hint="eastAsia" w:cs="Times New Roman"/>
                <w:color w:val="auto"/>
                <w:highlight w:val="none"/>
                <w:lang w:val="en-US" w:eastAsia="zh-CN"/>
              </w:rPr>
              <w:t>26</w:t>
            </w:r>
            <w:r>
              <w:rPr>
                <w:rFonts w:hint="eastAsia" w:ascii="Times New Roman" w:hAnsi="Times New Roman" w:cs="Times New Roman"/>
                <w:color w:val="auto"/>
                <w:highlight w:val="none"/>
                <w:lang w:val="en-US" w:eastAsia="zh-CN"/>
              </w:rPr>
              <w:t>〕</w:t>
            </w:r>
            <w:r>
              <w:rPr>
                <w:rFonts w:hint="eastAsia" w:cs="Times New Roman"/>
                <w:color w:val="auto"/>
                <w:highlight w:val="none"/>
                <w:lang w:val="en-US" w:eastAsia="zh-CN"/>
              </w:rPr>
              <w:t>442</w:t>
            </w:r>
            <w:r>
              <w:rPr>
                <w:rFonts w:hint="eastAsia" w:ascii="Times New Roman" w:hAnsi="Times New Roman" w:cs="Times New Roman"/>
                <w:color w:val="auto"/>
                <w:highlight w:val="none"/>
                <w:lang w:val="en-US" w:eastAsia="zh-CN"/>
              </w:rPr>
              <w:t>号</w:t>
            </w:r>
            <w:r>
              <w:rPr>
                <w:rFonts w:hint="eastAsia" w:ascii="Times New Roman" w:hAnsi="Times New Roman" w:cs="Times New Roman"/>
                <w:color w:val="auto"/>
                <w:highlight w:val="none"/>
              </w:rPr>
              <w:t>，备案证见附件</w:t>
            </w:r>
            <w:r>
              <w:rPr>
                <w:rFonts w:hint="eastAsia" w:cs="Times New Roman"/>
                <w:color w:val="auto"/>
                <w:highlight w:val="none"/>
                <w:lang w:val="en-US" w:eastAsia="zh-CN"/>
              </w:rPr>
              <w:t>3</w:t>
            </w:r>
            <w:r>
              <w:rPr>
                <w:rFonts w:hint="eastAsia" w:ascii="Times New Roman" w:hAnsi="Times New Roman" w:cs="Times New Roman"/>
                <w:color w:val="auto"/>
                <w:highlight w:val="none"/>
              </w:rPr>
              <w:t>）。</w:t>
            </w:r>
          </w:p>
          <w:p w14:paraId="1DBA1491">
            <w:pPr>
              <w:bidi w:val="0"/>
              <w:rPr>
                <w:color w:val="auto"/>
                <w:highlight w:val="none"/>
              </w:rPr>
            </w:pPr>
            <w:r>
              <w:rPr>
                <w:rFonts w:hint="eastAsia"/>
                <w:color w:val="auto"/>
                <w:highlight w:val="none"/>
              </w:rPr>
              <w:t>根据项目备案文件，本项目主要产品为</w:t>
            </w:r>
            <w:r>
              <w:rPr>
                <w:rFonts w:hint="eastAsia"/>
                <w:color w:val="auto"/>
                <w:szCs w:val="22"/>
                <w:highlight w:val="none"/>
                <w:lang w:val="en-US" w:eastAsia="zh-CN"/>
              </w:rPr>
              <w:t>移动电源设备</w:t>
            </w:r>
            <w:r>
              <w:rPr>
                <w:rFonts w:hint="eastAsia"/>
                <w:color w:val="auto"/>
                <w:highlight w:val="none"/>
                <w:lang w:val="en-US" w:eastAsia="zh-CN"/>
              </w:rPr>
              <w:t>，</w:t>
            </w:r>
            <w:r>
              <w:rPr>
                <w:rFonts w:hint="eastAsia"/>
                <w:color w:val="auto"/>
                <w:highlight w:val="none"/>
              </w:rPr>
              <w:t>属于《国民经济行业分类》</w:t>
            </w:r>
            <w:r>
              <w:rPr>
                <w:rFonts w:hint="eastAsia"/>
                <w:color w:val="auto"/>
                <w:highlight w:val="none"/>
                <w:lang w:eastAsia="zh-CN"/>
              </w:rPr>
              <w:t>（GB/T 4754-2017</w:t>
            </w:r>
            <w:r>
              <w:rPr>
                <w:rFonts w:hint="eastAsia"/>
                <w:color w:val="auto"/>
                <w:highlight w:val="none"/>
              </w:rPr>
              <w:t>）的</w:t>
            </w:r>
            <w:r>
              <w:rPr>
                <w:rFonts w:hint="eastAsia"/>
                <w:color w:val="auto"/>
                <w:highlight w:val="none"/>
                <w:lang w:val="en-US" w:eastAsia="zh-CN"/>
              </w:rPr>
              <w:t>C3969其他智能消费设备制造</w:t>
            </w:r>
            <w:r>
              <w:rPr>
                <w:rFonts w:hint="eastAsia"/>
                <w:color w:val="auto"/>
                <w:highlight w:val="none"/>
              </w:rPr>
              <w:t>。</w:t>
            </w:r>
            <w:r>
              <w:rPr>
                <w:color w:val="auto"/>
                <w:highlight w:val="none"/>
              </w:rPr>
              <w:t>根据《中华人民共和国环境影响评价法》以及《</w:t>
            </w:r>
            <w:r>
              <w:rPr>
                <w:rFonts w:hint="eastAsia"/>
                <w:color w:val="auto"/>
                <w:highlight w:val="none"/>
              </w:rPr>
              <w:t>建设项目环境影响评价</w:t>
            </w:r>
            <w:r>
              <w:rPr>
                <w:color w:val="auto"/>
                <w:highlight w:val="none"/>
              </w:rPr>
              <w:t>分类管理名录（2021版）》</w:t>
            </w:r>
            <w:r>
              <w:rPr>
                <w:rFonts w:hint="eastAsia"/>
                <w:color w:val="auto"/>
                <w:highlight w:val="none"/>
              </w:rPr>
              <w:t>，</w:t>
            </w:r>
            <w:r>
              <w:rPr>
                <w:rFonts w:hint="eastAsia"/>
                <w:color w:val="auto"/>
                <w:highlight w:val="none"/>
                <w:lang w:val="en-US" w:eastAsia="zh-CN"/>
              </w:rPr>
              <w:t>本项目属于</w:t>
            </w:r>
            <w:r>
              <w:rPr>
                <w:rFonts w:hint="eastAsia"/>
                <w:color w:val="auto"/>
                <w:highlight w:val="none"/>
              </w:rPr>
              <w:t>“三十</w:t>
            </w:r>
            <w:r>
              <w:rPr>
                <w:rFonts w:hint="eastAsia"/>
                <w:color w:val="auto"/>
                <w:szCs w:val="22"/>
                <w:highlight w:val="none"/>
                <w:lang w:val="en-US" w:eastAsia="zh-CN"/>
              </w:rPr>
              <w:t>六、计算机、通信和其他电子设备制造业 39</w:t>
            </w:r>
            <w:r>
              <w:rPr>
                <w:rFonts w:hint="eastAsia"/>
                <w:color w:val="auto"/>
                <w:highlight w:val="none"/>
              </w:rPr>
              <w:t>”</w:t>
            </w:r>
            <w:r>
              <w:rPr>
                <w:color w:val="auto"/>
                <w:highlight w:val="none"/>
              </w:rPr>
              <w:t>中的</w:t>
            </w:r>
            <w:r>
              <w:rPr>
                <w:rFonts w:hint="eastAsia"/>
                <w:color w:val="auto"/>
                <w:highlight w:val="none"/>
              </w:rPr>
              <w:t>“</w:t>
            </w:r>
            <w:r>
              <w:rPr>
                <w:rFonts w:hint="eastAsia"/>
                <w:color w:val="auto"/>
                <w:highlight w:val="none"/>
                <w:lang w:val="en-US" w:eastAsia="zh-CN"/>
              </w:rPr>
              <w:t>全部</w:t>
            </w:r>
            <w:r>
              <w:rPr>
                <w:color w:val="auto"/>
                <w:highlight w:val="none"/>
              </w:rPr>
              <w:t>（</w:t>
            </w:r>
            <w:r>
              <w:rPr>
                <w:rFonts w:hint="eastAsia"/>
                <w:color w:val="auto"/>
                <w:highlight w:val="none"/>
                <w:lang w:val="en-US" w:eastAsia="zh-CN"/>
              </w:rPr>
              <w:t>仅分割、焊接、组装的除外</w:t>
            </w:r>
            <w:r>
              <w:rPr>
                <w:color w:val="auto"/>
                <w:highlight w:val="none"/>
              </w:rPr>
              <w:t>）</w:t>
            </w:r>
            <w:r>
              <w:rPr>
                <w:rFonts w:hint="eastAsia"/>
                <w:color w:val="auto"/>
                <w:highlight w:val="none"/>
              </w:rPr>
              <w:t>”，因此本项目</w:t>
            </w:r>
            <w:r>
              <w:rPr>
                <w:color w:val="auto"/>
                <w:highlight w:val="none"/>
              </w:rPr>
              <w:t>按照要求编制报告表。</w:t>
            </w:r>
          </w:p>
          <w:p w14:paraId="65496E71">
            <w:pPr>
              <w:pStyle w:val="50"/>
              <w:bidi w:val="0"/>
              <w:ind w:left="0" w:leftChars="0" w:firstLine="0" w:firstLineChars="0"/>
              <w:rPr>
                <w:color w:val="auto"/>
                <w:lang w:val="zh-CN"/>
              </w:rPr>
            </w:pPr>
            <w:r>
              <w:rPr>
                <w:rFonts w:hint="eastAsia"/>
                <w:color w:val="auto"/>
                <w:lang w:val="zh-CN"/>
              </w:rPr>
              <w:t>项目环评类别判定表</w:t>
            </w:r>
          </w:p>
          <w:tbl>
            <w:tblPr>
              <w:tblStyle w:val="33"/>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410"/>
              <w:gridCol w:w="3229"/>
              <w:gridCol w:w="1755"/>
              <w:gridCol w:w="1707"/>
              <w:gridCol w:w="780"/>
            </w:tblGrid>
            <w:tr w14:paraId="466E7C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08" w:type="pct"/>
                  <w:gridSpan w:val="2"/>
                  <w:shd w:val="clear" w:color="auto" w:fill="auto"/>
                  <w:tcMar>
                    <w:top w:w="15" w:type="dxa"/>
                    <w:left w:w="15" w:type="dxa"/>
                    <w:right w:w="15" w:type="dxa"/>
                  </w:tcMar>
                  <w:vAlign w:val="center"/>
                </w:tcPr>
                <w:p w14:paraId="3F8F9724">
                  <w:pPr>
                    <w:pStyle w:val="48"/>
                    <w:rPr>
                      <w:color w:val="auto"/>
                      <w:highlight w:val="none"/>
                    </w:rPr>
                  </w:pPr>
                  <w:r>
                    <w:rPr>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1483360</wp:posOffset>
                            </wp:positionH>
                            <wp:positionV relativeFrom="paragraph">
                              <wp:posOffset>-24765</wp:posOffset>
                            </wp:positionV>
                            <wp:extent cx="838200" cy="266700"/>
                            <wp:effectExtent l="0" t="0" r="0" b="0"/>
                            <wp:wrapNone/>
                            <wp:docPr id="79" name="文本框 79"/>
                            <wp:cNvGraphicFramePr/>
                            <a:graphic xmlns:a="http://schemas.openxmlformats.org/drawingml/2006/main">
                              <a:graphicData uri="http://schemas.microsoft.com/office/word/2010/wordprocessingShape">
                                <wps:wsp>
                                  <wps:cNvSpPr txBox="1"/>
                                  <wps:spPr>
                                    <a:xfrm>
                                      <a:off x="1522730" y="3675380"/>
                                      <a:ext cx="838200" cy="266700"/>
                                    </a:xfrm>
                                    <a:prstGeom prst="rect">
                                      <a:avLst/>
                                    </a:prstGeom>
                                    <a:noFill/>
                                    <a:ln w="6350">
                                      <a:noFill/>
                                    </a:ln>
                                    <a:effectLst/>
                                  </wps:spPr>
                                  <wps:txbx>
                                    <w:txbxContent>
                                      <w:p w14:paraId="6B191595">
                                        <w:pPr>
                                          <w:spacing w:line="240" w:lineRule="auto"/>
                                          <w:ind w:firstLine="0" w:firstLineChars="0"/>
                                          <w:rPr>
                                            <w:b/>
                                            <w:bCs/>
                                            <w:sz w:val="21"/>
                                            <w:szCs w:val="21"/>
                                          </w:rPr>
                                        </w:pPr>
                                        <w:r>
                                          <w:rPr>
                                            <w:rFonts w:hint="eastAsia"/>
                                            <w:b/>
                                            <w:bCs/>
                                            <w:sz w:val="21"/>
                                            <w:szCs w:val="21"/>
                                          </w:rPr>
                                          <w:t>环评类别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6.8pt;margin-top:-1.95pt;height:21pt;width:66pt;z-index:251667456;mso-width-relative:page;mso-height-relative:page;" filled="f" stroked="f" coordsize="21600,21600" o:gfxdata="UEsDBAoAAAAAAIdO4kAAAAAAAAAAAAAAAAAEAAAAZHJzL1BLAwQUAAAACACHTuJAIzF7XdoAAAAJ&#10;AQAADwAAAGRycy9kb3ducmV2LnhtbE2Py07DMBBF90j8gzVI7FrnoUYhxKlQpAoJwaKlG3aTeJpE&#10;xHaI3Qd8PcOK7uZxdOdMub6YUZxo9oOzCuJlBIJs6/RgOwX7980iB+EDWo2js6Tgmzysq9ubEgvt&#10;znZLp13oBIdYX6CCPoSpkNK3PRn0SzeR5d3BzQYDt3Mn9YxnDjejTKIokwYHyxd6nKjuqf3cHY2C&#10;l3rzhtsmMfnPWD+/Hp6mr/3HSqn7uzh6BBHoEv5h+NNndajYqXFHq70YFSRpmjGqYJE+gGAgzVY8&#10;aLjIY5BVKa8/qH4BUEsDBBQAAAAIAIdO4kB9EgjDTAIAAIEEAAAOAAAAZHJzL2Uyb0RvYy54bWyt&#10;VEtu2zAQ3RfoHQjuG/lvx4gcuDFSFAiaAGnRNU1RkQD+StKW3AO0N+iqm+57rpyjj5ScBGkXWXRD&#10;z3DGb/jezOjsvFWS7IXztdE5HZ4MKBGam6LWdzn99PHyzYISH5gumDRa5PQgPD1fvX511tilGJnK&#10;yEI4AhDtl43NaRWCXWaZ55VQzJ8YKzSCpXGKBbjuLisca4CuZDYaDGZZY1xhneHCe9xuuiDtEd1L&#10;AE1Z1lxsDN8poUOH6oRkAZR8VVtPV+m1ZSl4uC5LLwKROQXTkE4Ugb2NZ7Y6Y8s7x2xV8/4J7CVP&#10;eMZJsVqj6APUhgVGdq7+C0rV3BlvynDCjco6IkkRsBgOnmlzWzErEhdI7e2D6P7/wfIP+xtH6iKn&#10;81NKNFPo+P2P7/c/f9//+kZwB4Ea65fIu7XIDO1b02Jsjvcel5F3WzoVf8GIxPh0NJqPIfIhp+PZ&#10;fDpe9FKLNhCOhMV4gWGghCNhNJvNYaNS9ghknQ/vhFEkGjl16GQSmO2vfOhSjymxrjaXtZSpm1KT&#10;Jqez8XSQ/vAQAbjUMVekuehhIrmORLRCu217xltTHEDYmW5mvOWXNZ5yxXy4YQ5DgtdjjcI1jlIa&#10;lDS9RUll3Nd/3cd89A5RShoMXU79lx1zghL5XqOrp8PJBLAhOZPpfATHPY1sn0b0Tl0YzPUQC2t5&#10;MmN+kEezdEZ9xratY1WEmOaondNwNC9CtwrYVi7W65SEubQsXOlbyyN0J+56F0xZJ92jTJ026Fd0&#10;MJmpc/0WxdF/6qesxy/H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jMXtd2gAAAAkBAAAPAAAA&#10;AAAAAAEAIAAAACIAAABkcnMvZG93bnJldi54bWxQSwECFAAUAAAACACHTuJAfRIIw0wCAACBBAAA&#10;DgAAAAAAAAABACAAAAApAQAAZHJzL2Uyb0RvYy54bWxQSwUGAAAAAAYABgBZAQAA5wUAAAAA&#10;">
                            <v:fill on="f" focussize="0,0"/>
                            <v:stroke on="f" weight="0.5pt"/>
                            <v:imagedata o:title=""/>
                            <o:lock v:ext="edit" aspectratio="f"/>
                            <v:textbox>
                              <w:txbxContent>
                                <w:p w14:paraId="6B191595">
                                  <w:pPr>
                                    <w:spacing w:line="240" w:lineRule="auto"/>
                                    <w:ind w:firstLine="0" w:firstLineChars="0"/>
                                    <w:rPr>
                                      <w:b/>
                                      <w:bCs/>
                                      <w:sz w:val="21"/>
                                      <w:szCs w:val="21"/>
                                    </w:rPr>
                                  </w:pPr>
                                  <w:r>
                                    <w:rPr>
                                      <w:rFonts w:hint="eastAsia"/>
                                      <w:b/>
                                      <w:bCs/>
                                      <w:sz w:val="21"/>
                                      <w:szCs w:val="21"/>
                                    </w:rPr>
                                    <w:t>环评类别</w:t>
                                  </w:r>
                                </w:p>
                              </w:txbxContent>
                            </v:textbox>
                          </v:shape>
                        </w:pict>
                      </mc:Fallback>
                    </mc:AlternateContent>
                  </w:r>
                  <w:r>
                    <w:rPr>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-5080</wp:posOffset>
                            </wp:positionH>
                            <wp:positionV relativeFrom="paragraph">
                              <wp:posOffset>-10795</wp:posOffset>
                            </wp:positionV>
                            <wp:extent cx="2476500" cy="328295"/>
                            <wp:effectExtent l="635" t="4445" r="18415" b="10160"/>
                            <wp:wrapNone/>
                            <wp:docPr id="81" name="直接箭头连接符 81"/>
                            <wp:cNvGraphicFramePr/>
                            <a:graphic xmlns:a="http://schemas.openxmlformats.org/drawingml/2006/main">
                              <a:graphicData uri="http://schemas.microsoft.com/office/word/2010/wordprocessingShape">
                                <wps:wsp>
                                  <wps:cNvCnPr/>
                                  <wps:spPr>
                                    <a:xfrm>
                                      <a:off x="0" y="0"/>
                                      <a:ext cx="2476500" cy="3282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pt;margin-top:-0.85pt;height:25.85pt;width:195pt;z-index:251669504;mso-width-relative:page;mso-height-relative:page;" filled="f" stroked="t" coordsize="21600,21600" o:gfxdata="UEsDBAoAAAAAAIdO4kAAAAAAAAAAAAAAAAAEAAAAZHJzL1BLAwQUAAAACACHTuJASQCitdYAAAAH&#10;AQAADwAAAGRycy9kb3ducmV2LnhtbE3OwW7CMAwG4PukvUPkSbtMI2knNih1EULaYccB0q6hMW2h&#10;caompYynXziNk2X91u8vX15sK87U+8YxQjJRIIhLZxquEHbbz9cZCB80G906JoRf8rAsHh9ynRk3&#10;8jedN6ESsYR9phHqELpMSl/WZLWfuI44ZgfXWx3i2lfS9HqM5baVqVLv0uqG44dad7SuqTxtBotA&#10;fpgmajW31e7rOr78pNfj2G0Rn58StQAR6BL+j+HGj3QoomnvBjZetAg3eIgj+QAR47fZPAWxR5gq&#10;BbLI5b2/+ANQSwMEFAAAAAgAh07iQHZKaQACAgAA8wMAAA4AAABkcnMvZTJvRG9jLnhtbK1TzY7T&#10;MBC+I/EOlu80baBLN2q6h5blgqAS8ACu7SSW/CePt2lfghdA4gScWE5752lgeQzGTunCcumBHJyx&#10;Z+ab+T6P5xc7o8lWBlDO1nQyGlMiLXdC2bamb99cPppRApFZwbSzsqZ7CfRi8fDBvPeVLF3ntJCB&#10;IIiFqvc17WL0VVEA76RhMHJeWnQ2LhgWcRvaQgTWI7rRRTkenxW9C8IHxyUAnq4GJz0ghlMAXdMo&#10;LleOXxlp44AapGYRKUGnPNBF7rZpJI+vmgZkJLqmyDTmFYugvUlrsZizqg3Md4ofWmCntHCPk2HK&#10;YtEj1IpFRq6C+gfKKB4cuCaOuDPFQCQrgiwm43vavO6Yl5kLSg3+KDr8P1j+crsORImaziaUWGbw&#10;xm/f3/x49+n26/X3jzc/v31I9pfPBP0oVu+hwpylXYfDDvw6JOa7Jpj0R05klwXeHwWWu0g4HpZP&#10;np5Nx6g9R9/jclaeTxNocZftA8Tn0hmSjJpCDEy1XVw6a/EuXZhkldn2BcQh8XdCKq0t6Wt6Pi2n&#10;WIHhbDY4E2gaj/zAtjkXnFbiUmmdMiC0m6UOZMvSfOTv0NBfYanIikE3xGVXCmNVJ5l4ZgWJe4/C&#10;WXwwNLVgpKBES3xfycqRkSl9SiRqoS1KkoQepE3Wxol9Vjyf4yxk0Q5zm4btz33Ovnur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JAKK11gAAAAcBAAAPAAAAAAAAAAEAIAAAACIAAABkcnMvZG93&#10;bnJldi54bWxQSwECFAAUAAAACACHTuJAdkppAAICAADzAwAADgAAAAAAAAABACAAAAAlAQAAZHJz&#10;L2Uyb0RvYy54bWxQSwUGAAAAAAYABgBZAQAAmQUAAAAA&#10;">
                            <v:fill on="f" focussize="0,0"/>
                            <v:stroke color="#000000" joinstyle="round"/>
                            <v:imagedata o:title=""/>
                            <o:lock v:ext="edit" aspectratio="f"/>
                          </v:shape>
                        </w:pict>
                      </mc:Fallback>
                    </mc:AlternateContent>
                  </w:r>
                  <w:r>
                    <w:rPr>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-52705</wp:posOffset>
                            </wp:positionH>
                            <wp:positionV relativeFrom="paragraph">
                              <wp:posOffset>65405</wp:posOffset>
                            </wp:positionV>
                            <wp:extent cx="838200" cy="28638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838200" cy="286385"/>
                                    </a:xfrm>
                                    <a:prstGeom prst="rect">
                                      <a:avLst/>
                                    </a:prstGeom>
                                    <a:noFill/>
                                    <a:ln w="6350">
                                      <a:noFill/>
                                    </a:ln>
                                    <a:effectLst/>
                                  </wps:spPr>
                                  <wps:txbx>
                                    <w:txbxContent>
                                      <w:p w14:paraId="7EBFA6E9">
                                        <w:pPr>
                                          <w:spacing w:line="240" w:lineRule="auto"/>
                                          <w:ind w:firstLine="0" w:firstLineChars="0"/>
                                          <w:rPr>
                                            <w:b/>
                                            <w:bCs/>
                                            <w:sz w:val="21"/>
                                            <w:szCs w:val="21"/>
                                          </w:rPr>
                                        </w:pPr>
                                        <w:r>
                                          <w:rPr>
                                            <w:rFonts w:hint="eastAsia"/>
                                            <w:b/>
                                            <w:bCs/>
                                            <w:sz w:val="21"/>
                                            <w:szCs w:val="21"/>
                                          </w:rPr>
                                          <w:t>项目类别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pt;margin-top:5.15pt;height:22.55pt;width:66pt;z-index:251668480;mso-width-relative:page;mso-height-relative:page;" filled="f" stroked="f" coordsize="21600,21600" o:gfxdata="UEsDBAoAAAAAAIdO4kAAAAAAAAAAAAAAAAAEAAAAZHJzL1BLAwQUAAAACACHTuJA8eab3NkAAAAI&#10;AQAADwAAAGRycy9kb3ducmV2LnhtbE2PzU7DMBCE70i8g7VI3Fq7KYEoxKlQpAoJwaGlF26beJtE&#10;xHaI3R94erYnOK12ZzT7TbE620EcaQq9dxoWcwWCXONN71oNu/f1LAMRIjqDg3ek4ZsCrMrrqwJz&#10;409uQ8dtbAWHuJCjhi7GMZcyNB1ZDHM/kmNt7yeLkdeplWbCE4fbQSZK3UuLveMPHY5UddR8bg9W&#10;w0u1fsNNndjsZ6ieX/dP49fuI9X69mahHkFEOsc/M1zwGR1KZqr9wZkgBg2zbMlOviueFz1ZPoCo&#10;NaTpHciykP8LlL9QSwMEFAAAAAgAh07iQNBWO+JCAgAAdQQAAA4AAABkcnMvZTJvRG9jLnhtbK1U&#10;zW4TMRC+I/EOlu9089OWEHVThVZFSBWtVBBnx+vNrmR7jO10tzwAvAEnLtx5rj4Hn71JWhUOPXBx&#10;xjOz38x88zknp73R7Fb50JIt+fhgxJmykqrWrkv+6ePFqxlnIQpbCU1WlfxOBX66ePnipHNzNaGG&#10;dKU8A4gN886VvInRzYsiyEYZEQ7IKYtgTd6IiKtfF5UXHdCNLiaj0XHRka+cJ6lCgPd8CPIton8O&#10;INV1K9U5yY1RNg6oXmkRMVJoWhf4Indb10rGq7oOKjJdckwa84kisFfpLBYnYr72wjWt3LYgntPC&#10;k5mMaC2K7qHORRRs49u/oEwrPQWq44EkUwyDZEYwxXj0hJubRjiVZwHVwe1JD/8PVn64vfasrUo+&#10;AyVWGGz8/sf3+5+/7399Y/CBoM6FOfJuHDJj/5Z6yGbnD3Cmufvam/SLiRjiwLrb06v6yCScs+kM&#10;AuBMIjSZHU9nRwmlePjY+RDfKTIsGSX32F4mVdxehjik7lJSLUsXrdZ5g9qyruTH06NR/mAfAbi2&#10;KVdlLWxh0kBD48mK/arfTrmi6g5Dehp0Epy8aNHKpQjxWngIA93j6cQrHLUmlKStxVlD/uu//Ckf&#10;+0KUsw5CK3n4shFecabfW2zyzfjwELAxXw6PXk9w8Y8jq8cRuzFnBC2P8UidzGbKj3pn1p7MZ7yw&#10;ZaqKkLAStUsed+ZZHOSPFyrVcpmToEUn4qW9cTJBD+QuN5HqNvOeaBq4wb7SBWrMm9u+nCT3x/ec&#10;9fBvsfg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8eab3NkAAAAIAQAADwAAAAAAAAABACAAAAAi&#10;AAAAZHJzL2Rvd25yZXYueG1sUEsBAhQAFAAAAAgAh07iQNBWO+JCAgAAdQQAAA4AAAAAAAAAAQAg&#10;AAAAKAEAAGRycy9lMm9Eb2MueG1sUEsFBgAAAAAGAAYAWQEAANwFAAAAAA==&#10;">
                            <v:fill on="f" focussize="0,0"/>
                            <v:stroke on="f" weight="0.5pt"/>
                            <v:imagedata o:title=""/>
                            <o:lock v:ext="edit" aspectratio="f"/>
                            <v:textbox>
                              <w:txbxContent>
                                <w:p w14:paraId="7EBFA6E9">
                                  <w:pPr>
                                    <w:spacing w:line="240" w:lineRule="auto"/>
                                    <w:ind w:firstLine="0" w:firstLineChars="0"/>
                                    <w:rPr>
                                      <w:b/>
                                      <w:bCs/>
                                      <w:sz w:val="21"/>
                                      <w:szCs w:val="21"/>
                                    </w:rPr>
                                  </w:pPr>
                                  <w:r>
                                    <w:rPr>
                                      <w:rFonts w:hint="eastAsia"/>
                                      <w:b/>
                                      <w:bCs/>
                                      <w:sz w:val="21"/>
                                      <w:szCs w:val="21"/>
                                    </w:rPr>
                                    <w:t>项目类别</w:t>
                                  </w:r>
                                </w:p>
                              </w:txbxContent>
                            </v:textbox>
                          </v:shape>
                        </w:pict>
                      </mc:Fallback>
                    </mc:AlternateContent>
                  </w:r>
                </w:p>
                <w:p w14:paraId="30569AAD">
                  <w:pPr>
                    <w:pStyle w:val="48"/>
                    <w:rPr>
                      <w:color w:val="auto"/>
                      <w:highlight w:val="none"/>
                    </w:rPr>
                  </w:pPr>
                </w:p>
              </w:tc>
              <w:tc>
                <w:tcPr>
                  <w:tcW w:w="1113" w:type="pct"/>
                  <w:shd w:val="clear" w:color="auto" w:fill="auto"/>
                  <w:tcMar>
                    <w:top w:w="15" w:type="dxa"/>
                    <w:left w:w="15" w:type="dxa"/>
                    <w:right w:w="15" w:type="dxa"/>
                  </w:tcMar>
                  <w:vAlign w:val="center"/>
                </w:tcPr>
                <w:p w14:paraId="51EA4674">
                  <w:pPr>
                    <w:pStyle w:val="48"/>
                    <w:rPr>
                      <w:b/>
                      <w:bCs/>
                      <w:color w:val="auto"/>
                      <w:highlight w:val="none"/>
                    </w:rPr>
                  </w:pPr>
                  <w:r>
                    <w:rPr>
                      <w:b/>
                      <w:bCs/>
                      <w:color w:val="auto"/>
                      <w:highlight w:val="none"/>
                    </w:rPr>
                    <w:t>报告书</w:t>
                  </w:r>
                </w:p>
              </w:tc>
              <w:tc>
                <w:tcPr>
                  <w:tcW w:w="1082" w:type="pct"/>
                  <w:shd w:val="clear" w:color="auto" w:fill="C5E0B3" w:themeFill="accent6" w:themeFillTint="66"/>
                  <w:tcMar>
                    <w:top w:w="15" w:type="dxa"/>
                    <w:left w:w="15" w:type="dxa"/>
                    <w:right w:w="15" w:type="dxa"/>
                  </w:tcMar>
                  <w:vAlign w:val="center"/>
                </w:tcPr>
                <w:p w14:paraId="03A7AA87">
                  <w:pPr>
                    <w:pStyle w:val="48"/>
                    <w:rPr>
                      <w:b/>
                      <w:bCs/>
                      <w:color w:val="auto"/>
                      <w:highlight w:val="none"/>
                    </w:rPr>
                  </w:pPr>
                  <w:r>
                    <w:rPr>
                      <w:b/>
                      <w:bCs/>
                      <w:color w:val="auto"/>
                      <w:highlight w:val="none"/>
                    </w:rPr>
                    <w:t>报告表</w:t>
                  </w:r>
                </w:p>
              </w:tc>
              <w:tc>
                <w:tcPr>
                  <w:tcW w:w="494" w:type="pct"/>
                  <w:shd w:val="clear" w:color="auto" w:fill="auto"/>
                  <w:tcMar>
                    <w:top w:w="15" w:type="dxa"/>
                    <w:left w:w="15" w:type="dxa"/>
                    <w:right w:w="15" w:type="dxa"/>
                  </w:tcMar>
                  <w:vAlign w:val="center"/>
                </w:tcPr>
                <w:p w14:paraId="1E02C268">
                  <w:pPr>
                    <w:pStyle w:val="48"/>
                    <w:rPr>
                      <w:b/>
                      <w:bCs/>
                      <w:color w:val="auto"/>
                      <w:highlight w:val="none"/>
                    </w:rPr>
                  </w:pPr>
                  <w:r>
                    <w:rPr>
                      <w:b/>
                      <w:bCs/>
                      <w:color w:val="auto"/>
                      <w:highlight w:val="none"/>
                    </w:rPr>
                    <w:t>登记表</w:t>
                  </w:r>
                </w:p>
              </w:tc>
            </w:tr>
            <w:tr w14:paraId="749EE7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00" w:type="pct"/>
                  <w:gridSpan w:val="5"/>
                  <w:shd w:val="clear" w:color="auto" w:fill="auto"/>
                  <w:tcMar>
                    <w:top w:w="15" w:type="dxa"/>
                    <w:left w:w="15" w:type="dxa"/>
                    <w:right w:w="15" w:type="dxa"/>
                  </w:tcMar>
                  <w:vAlign w:val="center"/>
                </w:tcPr>
                <w:p w14:paraId="45F4B8E0">
                  <w:pPr>
                    <w:pStyle w:val="48"/>
                    <w:jc w:val="left"/>
                    <w:rPr>
                      <w:rFonts w:hint="default"/>
                      <w:color w:val="auto"/>
                      <w:highlight w:val="none"/>
                      <w:lang w:val="en-US"/>
                    </w:rPr>
                  </w:pPr>
                  <w:r>
                    <w:rPr>
                      <w:rFonts w:hint="eastAsia" w:ascii="Times New Roman" w:hAnsi="Times New Roman" w:cs="Times New Roman"/>
                      <w:b/>
                      <w:bCs/>
                      <w:color w:val="auto"/>
                      <w:highlight w:val="none"/>
                      <w:lang w:val="en-US" w:eastAsia="zh-CN"/>
                    </w:rPr>
                    <w:t>三十六、计算机、通信和其他电子设备制造业 39</w:t>
                  </w:r>
                </w:p>
              </w:tc>
            </w:tr>
            <w:tr w14:paraId="6F3E52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60" w:type="pct"/>
                  <w:shd w:val="clear" w:color="auto" w:fill="auto"/>
                  <w:tcMar>
                    <w:top w:w="15" w:type="dxa"/>
                    <w:left w:w="15" w:type="dxa"/>
                    <w:right w:w="15" w:type="dxa"/>
                  </w:tcMar>
                  <w:vAlign w:val="center"/>
                </w:tcPr>
                <w:p w14:paraId="7422CEDE">
                  <w:pPr>
                    <w:pStyle w:val="48"/>
                    <w:rPr>
                      <w:rFonts w:hint="default" w:eastAsia="宋体"/>
                      <w:color w:val="auto"/>
                      <w:highlight w:val="none"/>
                      <w:lang w:val="en-US" w:eastAsia="zh-CN"/>
                    </w:rPr>
                  </w:pPr>
                  <w:r>
                    <w:rPr>
                      <w:rFonts w:hint="eastAsia"/>
                      <w:color w:val="auto"/>
                      <w:highlight w:val="none"/>
                      <w:lang w:val="en-US" w:eastAsia="zh-CN"/>
                    </w:rPr>
                    <w:t>79</w:t>
                  </w:r>
                </w:p>
              </w:tc>
              <w:tc>
                <w:tcPr>
                  <w:tcW w:w="2048" w:type="pct"/>
                  <w:shd w:val="clear" w:color="auto" w:fill="auto"/>
                  <w:tcMar>
                    <w:top w:w="15" w:type="dxa"/>
                    <w:left w:w="15" w:type="dxa"/>
                    <w:right w:w="15" w:type="dxa"/>
                  </w:tcMar>
                  <w:vAlign w:val="center"/>
                </w:tcPr>
                <w:p w14:paraId="3638ED74">
                  <w:pPr>
                    <w:pStyle w:val="48"/>
                    <w:rPr>
                      <w:rFonts w:hint="default" w:eastAsia="宋体"/>
                      <w:color w:val="auto"/>
                      <w:highlight w:val="none"/>
                      <w:lang w:val="en-US" w:eastAsia="zh-CN"/>
                    </w:rPr>
                  </w:pPr>
                  <w:r>
                    <w:rPr>
                      <w:rFonts w:hint="eastAsia"/>
                      <w:color w:val="auto"/>
                      <w:highlight w:val="none"/>
                      <w:lang w:val="en-US" w:eastAsia="zh-CN"/>
                    </w:rPr>
                    <w:t>智能消费设备制造396</w:t>
                  </w:r>
                </w:p>
              </w:tc>
              <w:tc>
                <w:tcPr>
                  <w:tcW w:w="1113" w:type="pct"/>
                  <w:shd w:val="clear" w:color="auto" w:fill="auto"/>
                  <w:tcMar>
                    <w:top w:w="15" w:type="dxa"/>
                    <w:left w:w="15" w:type="dxa"/>
                    <w:right w:w="15" w:type="dxa"/>
                  </w:tcMar>
                  <w:vAlign w:val="center"/>
                </w:tcPr>
                <w:p w14:paraId="01FA3BA3">
                  <w:pPr>
                    <w:pStyle w:val="48"/>
                    <w:rPr>
                      <w:rFonts w:hint="default" w:eastAsia="宋体"/>
                      <w:color w:val="auto"/>
                      <w:highlight w:val="none"/>
                      <w:lang w:val="en-US" w:eastAsia="zh-CN"/>
                    </w:rPr>
                  </w:pPr>
                  <w:r>
                    <w:rPr>
                      <w:rFonts w:hint="eastAsia"/>
                      <w:color w:val="auto"/>
                      <w:highlight w:val="none"/>
                      <w:lang w:val="en-US" w:eastAsia="zh-CN"/>
                    </w:rPr>
                    <w:t>/</w:t>
                  </w:r>
                </w:p>
              </w:tc>
              <w:tc>
                <w:tcPr>
                  <w:tcW w:w="1082" w:type="pct"/>
                  <w:shd w:val="clear" w:color="auto" w:fill="C5E0B3" w:themeFill="accent6" w:themeFillTint="66"/>
                  <w:tcMar>
                    <w:top w:w="15" w:type="dxa"/>
                    <w:left w:w="15" w:type="dxa"/>
                    <w:right w:w="15" w:type="dxa"/>
                  </w:tcMar>
                  <w:vAlign w:val="center"/>
                </w:tcPr>
                <w:p w14:paraId="5AAE77D6">
                  <w:pPr>
                    <w:pStyle w:val="48"/>
                    <w:rPr>
                      <w:color w:val="auto"/>
                      <w:highlight w:val="none"/>
                    </w:rPr>
                  </w:pPr>
                  <w:r>
                    <w:rPr>
                      <w:rFonts w:hint="eastAsia"/>
                      <w:color w:val="auto"/>
                      <w:highlight w:val="none"/>
                      <w:lang w:val="en-US" w:eastAsia="zh-CN"/>
                    </w:rPr>
                    <w:t>全部</w:t>
                  </w:r>
                  <w:r>
                    <w:rPr>
                      <w:color w:val="auto"/>
                      <w:highlight w:val="none"/>
                    </w:rPr>
                    <w:t>（</w:t>
                  </w:r>
                  <w:r>
                    <w:rPr>
                      <w:rFonts w:hint="eastAsia"/>
                      <w:color w:val="auto"/>
                      <w:highlight w:val="none"/>
                      <w:lang w:val="en-US" w:eastAsia="zh-CN"/>
                    </w:rPr>
                    <w:t>仅分割、焊接、组装的除外</w:t>
                  </w:r>
                  <w:r>
                    <w:rPr>
                      <w:color w:val="auto"/>
                      <w:highlight w:val="none"/>
                    </w:rPr>
                    <w:t>）</w:t>
                  </w:r>
                </w:p>
              </w:tc>
              <w:tc>
                <w:tcPr>
                  <w:tcW w:w="494" w:type="pct"/>
                  <w:shd w:val="clear" w:color="auto" w:fill="auto"/>
                  <w:tcMar>
                    <w:top w:w="15" w:type="dxa"/>
                    <w:left w:w="15" w:type="dxa"/>
                    <w:right w:w="15" w:type="dxa"/>
                  </w:tcMar>
                  <w:vAlign w:val="center"/>
                </w:tcPr>
                <w:p w14:paraId="79C92E6B">
                  <w:pPr>
                    <w:pStyle w:val="48"/>
                    <w:rPr>
                      <w:color w:val="auto"/>
                      <w:highlight w:val="none"/>
                    </w:rPr>
                  </w:pPr>
                  <w:r>
                    <w:rPr>
                      <w:color w:val="auto"/>
                      <w:highlight w:val="none"/>
                    </w:rPr>
                    <w:t>/</w:t>
                  </w:r>
                </w:p>
              </w:tc>
            </w:tr>
          </w:tbl>
          <w:p w14:paraId="66C35291">
            <w:pPr>
              <w:ind w:left="480" w:leftChars="200" w:firstLine="0" w:firstLineChars="0"/>
              <w:rPr>
                <w:b/>
                <w:bCs/>
                <w:color w:val="auto"/>
                <w:highlight w:val="none"/>
              </w:rPr>
            </w:pPr>
            <w:r>
              <w:rPr>
                <w:rFonts w:hint="eastAsia"/>
                <w:b/>
                <w:bCs/>
                <w:color w:val="auto"/>
                <w:highlight w:val="none"/>
                <w:lang w:eastAsia="zh-CN"/>
              </w:rPr>
              <w:t>2.</w:t>
            </w:r>
            <w:r>
              <w:rPr>
                <w:b/>
                <w:bCs/>
                <w:color w:val="auto"/>
                <w:highlight w:val="none"/>
              </w:rPr>
              <w:t>项目概况</w:t>
            </w:r>
          </w:p>
          <w:p w14:paraId="2D2B4AC6">
            <w:pPr>
              <w:ind w:firstLine="480"/>
              <w:rPr>
                <w:color w:val="auto"/>
                <w:highlight w:val="none"/>
              </w:rPr>
            </w:pPr>
            <w:r>
              <w:rPr>
                <w:color w:val="auto"/>
                <w:highlight w:val="none"/>
                <w:lang w:val="zh-CN"/>
              </w:rPr>
              <w:t>项目名称：</w:t>
            </w:r>
            <w:r>
              <w:rPr>
                <w:rFonts w:hint="eastAsia"/>
                <w:color w:val="auto"/>
                <w:szCs w:val="22"/>
                <w:highlight w:val="none"/>
                <w:lang w:val="en-US" w:eastAsia="zh-CN"/>
              </w:rPr>
              <w:t>移动电源设备生产项目</w:t>
            </w:r>
            <w:r>
              <w:rPr>
                <w:rFonts w:hint="eastAsia"/>
                <w:color w:val="auto"/>
                <w:highlight w:val="none"/>
                <w:lang w:val="zh-CN"/>
              </w:rPr>
              <w:t>；</w:t>
            </w:r>
          </w:p>
          <w:p w14:paraId="335A9B32">
            <w:pPr>
              <w:ind w:firstLine="480"/>
              <w:rPr>
                <w:color w:val="auto"/>
                <w:highlight w:val="none"/>
                <w:lang w:val="zh-CN"/>
              </w:rPr>
            </w:pPr>
            <w:r>
              <w:rPr>
                <w:color w:val="auto"/>
                <w:highlight w:val="none"/>
                <w:lang w:val="zh-CN"/>
              </w:rPr>
              <w:t>建设单位：</w:t>
            </w:r>
            <w:r>
              <w:rPr>
                <w:rFonts w:hint="eastAsia" w:cs="Times New Roman"/>
                <w:color w:val="auto"/>
                <w:sz w:val="24"/>
                <w:szCs w:val="24"/>
                <w:lang w:val="en-US" w:eastAsia="zh-CN"/>
              </w:rPr>
              <w:t>南京酷科电子科技</w:t>
            </w:r>
            <w:r>
              <w:rPr>
                <w:rFonts w:hint="eastAsia" w:ascii="Times New Roman" w:hAnsi="Times New Roman" w:eastAsia="宋体" w:cs="Times New Roman"/>
                <w:color w:val="auto"/>
                <w:sz w:val="24"/>
                <w:szCs w:val="24"/>
                <w:lang w:val="en-US" w:eastAsia="zh-CN"/>
              </w:rPr>
              <w:t>有限公司</w:t>
            </w:r>
            <w:r>
              <w:rPr>
                <w:rFonts w:hint="eastAsia"/>
                <w:color w:val="auto"/>
                <w:highlight w:val="none"/>
                <w:lang w:val="zh-CN"/>
              </w:rPr>
              <w:t>；</w:t>
            </w:r>
          </w:p>
          <w:p w14:paraId="2441F17D">
            <w:pPr>
              <w:ind w:firstLine="480"/>
              <w:rPr>
                <w:color w:val="auto"/>
                <w:highlight w:val="none"/>
              </w:rPr>
            </w:pPr>
            <w:r>
              <w:rPr>
                <w:color w:val="auto"/>
                <w:highlight w:val="none"/>
                <w:lang w:val="zh-CN"/>
              </w:rPr>
              <w:t>行业类别：</w:t>
            </w:r>
            <w:r>
              <w:rPr>
                <w:rFonts w:hint="default" w:ascii="Times New Roman" w:hAnsi="Times New Roman" w:eastAsia="宋体" w:cs="Times New Roman"/>
                <w:color w:val="auto"/>
                <w:szCs w:val="22"/>
                <w:highlight w:val="none"/>
                <w:lang w:val="en-US" w:eastAsia="zh-CN"/>
              </w:rPr>
              <w:t>C</w:t>
            </w:r>
            <w:r>
              <w:rPr>
                <w:rFonts w:hint="eastAsia" w:cs="Times New Roman"/>
                <w:color w:val="auto"/>
                <w:szCs w:val="22"/>
                <w:highlight w:val="none"/>
                <w:lang w:val="en-US" w:eastAsia="zh-CN"/>
              </w:rPr>
              <w:t>3969其他智能消费设备制造</w:t>
            </w:r>
          </w:p>
          <w:p w14:paraId="7AEEF139">
            <w:pPr>
              <w:ind w:firstLine="480"/>
              <w:rPr>
                <w:color w:val="auto"/>
                <w:highlight w:val="none"/>
              </w:rPr>
            </w:pPr>
            <w:r>
              <w:rPr>
                <w:color w:val="auto"/>
                <w:highlight w:val="none"/>
                <w:lang w:val="zh-CN"/>
              </w:rPr>
              <w:t>项目性质：</w:t>
            </w:r>
            <w:r>
              <w:rPr>
                <w:rFonts w:hint="eastAsia"/>
                <w:color w:val="auto"/>
                <w:highlight w:val="none"/>
                <w:lang w:val="en-US" w:eastAsia="zh-CN"/>
              </w:rPr>
              <w:t>新建</w:t>
            </w:r>
            <w:r>
              <w:rPr>
                <w:rFonts w:hint="eastAsia"/>
                <w:color w:val="auto"/>
                <w:highlight w:val="none"/>
              </w:rPr>
              <w:t>；</w:t>
            </w:r>
          </w:p>
          <w:p w14:paraId="15C62050">
            <w:pPr>
              <w:ind w:firstLine="480"/>
              <w:rPr>
                <w:color w:val="auto"/>
                <w:highlight w:val="none"/>
              </w:rPr>
            </w:pPr>
            <w:r>
              <w:rPr>
                <w:color w:val="auto"/>
                <w:highlight w:val="none"/>
                <w:lang w:val="zh-CN"/>
              </w:rPr>
              <w:t>建设地点：</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lang w:val="zh-CN"/>
              </w:rPr>
              <w:t>；</w:t>
            </w:r>
          </w:p>
          <w:p w14:paraId="4F610B3D">
            <w:pPr>
              <w:ind w:firstLine="480"/>
              <w:rPr>
                <w:color w:val="auto"/>
                <w:highlight w:val="none"/>
              </w:rPr>
            </w:pPr>
            <w:r>
              <w:rPr>
                <w:color w:val="auto"/>
                <w:highlight w:val="none"/>
                <w:lang w:val="zh-CN"/>
              </w:rPr>
              <w:t>投资总额：</w:t>
            </w:r>
            <w:r>
              <w:rPr>
                <w:rFonts w:hint="eastAsia"/>
                <w:color w:val="auto"/>
                <w:highlight w:val="none"/>
                <w:lang w:val="en-US" w:eastAsia="zh-CN"/>
              </w:rPr>
              <w:t>430</w:t>
            </w:r>
            <w:r>
              <w:rPr>
                <w:color w:val="auto"/>
                <w:highlight w:val="none"/>
              </w:rPr>
              <w:t>万元</w:t>
            </w:r>
            <w:r>
              <w:rPr>
                <w:rFonts w:hint="eastAsia"/>
                <w:color w:val="auto"/>
                <w:highlight w:val="none"/>
              </w:rPr>
              <w:t>；</w:t>
            </w:r>
          </w:p>
          <w:p w14:paraId="320D016C">
            <w:pPr>
              <w:ind w:firstLine="480"/>
              <w:rPr>
                <w:color w:val="auto"/>
                <w:highlight w:val="none"/>
              </w:rPr>
            </w:pPr>
            <w:r>
              <w:rPr>
                <w:color w:val="auto"/>
                <w:highlight w:val="none"/>
                <w:lang w:val="zh-CN"/>
              </w:rPr>
              <w:t>职工人数：</w:t>
            </w:r>
            <w:r>
              <w:rPr>
                <w:rFonts w:hint="eastAsia"/>
                <w:color w:val="auto"/>
                <w:highlight w:val="none"/>
                <w:lang w:val="en-US" w:eastAsia="zh-CN"/>
              </w:rPr>
              <w:t>本次新增5</w:t>
            </w:r>
            <w:r>
              <w:rPr>
                <w:rFonts w:hint="eastAsia"/>
                <w:color w:val="auto"/>
                <w:highlight w:val="none"/>
              </w:rPr>
              <w:t>人</w:t>
            </w:r>
            <w:r>
              <w:rPr>
                <w:rFonts w:hint="eastAsia"/>
                <w:color w:val="auto"/>
                <w:highlight w:val="none"/>
                <w:lang w:eastAsia="zh-CN"/>
              </w:rPr>
              <w:t>，</w:t>
            </w:r>
            <w:r>
              <w:rPr>
                <w:rFonts w:hint="eastAsia"/>
                <w:color w:val="auto"/>
                <w:highlight w:val="none"/>
                <w:lang w:val="en-US" w:eastAsia="zh-CN"/>
              </w:rPr>
              <w:t>不设置食堂、宿舍</w:t>
            </w:r>
            <w:r>
              <w:rPr>
                <w:rFonts w:hint="eastAsia"/>
                <w:color w:val="auto"/>
                <w:highlight w:val="none"/>
              </w:rPr>
              <w:t>；</w:t>
            </w:r>
          </w:p>
          <w:p w14:paraId="0DCCC4A0">
            <w:pPr>
              <w:ind w:firstLine="480"/>
              <w:rPr>
                <w:rFonts w:hint="eastAsia"/>
                <w:color w:val="auto"/>
                <w:highlight w:val="none"/>
                <w:lang w:eastAsia="zh-CN"/>
              </w:rPr>
            </w:pPr>
            <w:r>
              <w:rPr>
                <w:color w:val="auto"/>
                <w:highlight w:val="none"/>
                <w:lang w:val="zh-CN"/>
              </w:rPr>
              <w:t>工作制度：年工作</w:t>
            </w:r>
            <w:r>
              <w:rPr>
                <w:rFonts w:hint="eastAsia"/>
                <w:color w:val="auto"/>
                <w:highlight w:val="none"/>
                <w:lang w:val="en-US" w:eastAsia="zh-CN"/>
              </w:rPr>
              <w:t>250</w:t>
            </w:r>
            <w:r>
              <w:rPr>
                <w:color w:val="auto"/>
                <w:highlight w:val="none"/>
              </w:rPr>
              <w:t>天，</w:t>
            </w:r>
            <w:r>
              <w:rPr>
                <w:rFonts w:hint="eastAsia"/>
                <w:color w:val="auto"/>
                <w:highlight w:val="none"/>
                <w:lang w:val="en-US" w:eastAsia="zh-CN"/>
              </w:rPr>
              <w:t>单</w:t>
            </w:r>
            <w:r>
              <w:rPr>
                <w:color w:val="auto"/>
                <w:highlight w:val="none"/>
                <w:lang w:val="zh-CN"/>
              </w:rPr>
              <w:t>班制，每班</w:t>
            </w:r>
            <w:r>
              <w:rPr>
                <w:rFonts w:hint="eastAsia"/>
                <w:color w:val="auto"/>
                <w:highlight w:val="none"/>
              </w:rPr>
              <w:t>8</w:t>
            </w:r>
            <w:r>
              <w:rPr>
                <w:color w:val="auto"/>
                <w:highlight w:val="none"/>
              </w:rPr>
              <w:t>小时</w:t>
            </w:r>
            <w:r>
              <w:rPr>
                <w:rFonts w:hint="eastAsia"/>
                <w:color w:val="auto"/>
                <w:highlight w:val="none"/>
                <w:lang w:eastAsia="zh-CN"/>
              </w:rPr>
              <w:t>；</w:t>
            </w:r>
          </w:p>
          <w:p w14:paraId="4601C0E8">
            <w:pPr>
              <w:numPr>
                <w:ilvl w:val="0"/>
                <w:numId w:val="0"/>
              </w:numPr>
              <w:ind w:firstLine="482" w:firstLineChars="200"/>
              <w:rPr>
                <w:rFonts w:hint="eastAsia"/>
                <w:b/>
                <w:bCs/>
                <w:color w:val="auto"/>
                <w:highlight w:val="none"/>
                <w:lang w:val="en-US" w:eastAsia="zh-CN"/>
              </w:rPr>
            </w:pPr>
            <w:r>
              <w:rPr>
                <w:rFonts w:hint="eastAsia" w:ascii="Times New Roman" w:hAnsi="Times New Roman" w:eastAsia="宋体" w:cs="Times New Roman"/>
                <w:b/>
                <w:bCs/>
                <w:color w:val="auto"/>
                <w:kern w:val="2"/>
                <w:sz w:val="24"/>
                <w:szCs w:val="24"/>
                <w:lang w:val="en-US" w:eastAsia="zh-CN" w:bidi="ar-SA"/>
              </w:rPr>
              <w:t>3</w:t>
            </w:r>
            <w:r>
              <w:rPr>
                <w:rFonts w:hint="eastAsia" w:cs="Times New Roman"/>
                <w:b/>
                <w:bCs/>
                <w:color w:val="auto"/>
                <w:kern w:val="2"/>
                <w:sz w:val="24"/>
                <w:szCs w:val="24"/>
                <w:lang w:val="en-US" w:eastAsia="zh-CN" w:bidi="ar-SA"/>
              </w:rPr>
              <w:t>.</w:t>
            </w:r>
            <w:r>
              <w:rPr>
                <w:rFonts w:hint="eastAsia"/>
                <w:b/>
                <w:bCs/>
                <w:color w:val="auto"/>
                <w:highlight w:val="none"/>
                <w:lang w:val="en-US" w:eastAsia="zh-CN"/>
              </w:rPr>
              <w:t>建设内容</w:t>
            </w:r>
          </w:p>
          <w:p w14:paraId="69F3C700">
            <w:pPr>
              <w:bidi w:val="0"/>
              <w:rPr>
                <w:rFonts w:hint="default"/>
                <w:b/>
                <w:bCs/>
                <w:color w:val="auto"/>
                <w:highlight w:val="none"/>
                <w:lang w:val="en-US" w:eastAsia="zh-CN"/>
              </w:rPr>
            </w:pPr>
            <w:r>
              <w:rPr>
                <w:rFonts w:hint="eastAsia"/>
                <w:b/>
                <w:bCs/>
                <w:color w:val="auto"/>
                <w:highlight w:val="none"/>
                <w:lang w:val="en-US" w:eastAsia="zh-CN"/>
              </w:rPr>
              <w:t>（1）产品方案</w:t>
            </w:r>
          </w:p>
          <w:p w14:paraId="5E67F675">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color w:val="auto"/>
                <w:highlight w:val="none"/>
              </w:rPr>
            </w:pPr>
            <w:r>
              <w:rPr>
                <w:rFonts w:hint="eastAsia" w:cs="Times New Roman"/>
                <w:b w:val="0"/>
                <w:bCs w:val="0"/>
                <w:color w:val="auto"/>
                <w:highlight w:val="none"/>
                <w:lang w:val="en-US" w:eastAsia="zh-CN"/>
              </w:rPr>
              <w:t>本项目主要进行移动电源设备的生产，同时对外</w:t>
            </w:r>
            <w:r>
              <w:rPr>
                <w:rFonts w:hint="eastAsia" w:ascii="Times New Roman" w:hAnsi="Times New Roman" w:eastAsia="宋体" w:cs="Times New Roman"/>
                <w:b w:val="0"/>
                <w:bCs w:val="0"/>
                <w:color w:val="auto"/>
                <w:highlight w:val="none"/>
                <w:lang w:val="en-US" w:eastAsia="zh-CN"/>
              </w:rPr>
              <w:t>提供</w:t>
            </w:r>
            <w:r>
              <w:rPr>
                <w:rFonts w:hint="eastAsia" w:cs="Times New Roman"/>
                <w:b w:val="0"/>
                <w:bCs w:val="0"/>
                <w:color w:val="auto"/>
                <w:highlight w:val="none"/>
                <w:lang w:val="en-US" w:eastAsia="zh-CN"/>
              </w:rPr>
              <w:t>移</w:t>
            </w:r>
            <w:r>
              <w:rPr>
                <w:rFonts w:hint="eastAsia" w:cs="Times New Roman"/>
                <w:b w:val="0"/>
                <w:bCs w:val="0"/>
                <w:color w:val="auto"/>
                <w:highlight w:val="none"/>
                <w:lang w:val="en-US" w:eastAsia="zh-CN"/>
              </w:rPr>
              <w:t>动电源设备</w:t>
            </w:r>
            <w:r>
              <w:rPr>
                <w:rFonts w:hint="eastAsia" w:ascii="Times New Roman" w:hAnsi="Times New Roman" w:eastAsia="宋体" w:cs="Times New Roman"/>
                <w:b w:val="0"/>
                <w:bCs w:val="0"/>
                <w:color w:val="auto"/>
                <w:highlight w:val="none"/>
                <w:lang w:val="en-US" w:eastAsia="zh-CN"/>
              </w:rPr>
              <w:t>检测</w:t>
            </w:r>
            <w:r>
              <w:rPr>
                <w:rFonts w:hint="eastAsia" w:cs="Times New Roman"/>
                <w:b w:val="0"/>
                <w:bCs w:val="0"/>
                <w:color w:val="auto"/>
                <w:highlight w:val="none"/>
                <w:lang w:val="en-US" w:eastAsia="zh-CN"/>
              </w:rPr>
              <w:t>服务。</w:t>
            </w:r>
            <w:r>
              <w:rPr>
                <w:rFonts w:hint="eastAsia"/>
                <w:color w:val="auto"/>
                <w:highlight w:val="none"/>
                <w:lang w:val="en-US" w:eastAsia="zh-CN"/>
              </w:rPr>
              <w:t>本</w:t>
            </w:r>
            <w:r>
              <w:rPr>
                <w:rFonts w:hint="eastAsia"/>
                <w:color w:val="auto"/>
                <w:highlight w:val="none"/>
              </w:rPr>
              <w:t>项目产品方案如下：</w:t>
            </w:r>
          </w:p>
          <w:p w14:paraId="10FEEC58">
            <w:pPr>
              <w:pStyle w:val="50"/>
              <w:bidi w:val="0"/>
              <w:ind w:left="0" w:leftChars="0" w:firstLine="0" w:firstLineChars="0"/>
              <w:rPr>
                <w:color w:val="auto"/>
              </w:rPr>
            </w:pPr>
            <w:r>
              <w:rPr>
                <w:rFonts w:hint="eastAsia"/>
                <w:color w:val="auto"/>
                <w:lang w:val="en-US" w:eastAsia="zh-CN"/>
              </w:rPr>
              <w:t>本项目</w:t>
            </w:r>
            <w:r>
              <w:rPr>
                <w:color w:val="auto"/>
              </w:rPr>
              <w:t>产品方案一览表</w:t>
            </w:r>
          </w:p>
          <w:tbl>
            <w:tblPr>
              <w:tblStyle w:val="33"/>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73"/>
              <w:gridCol w:w="669"/>
              <w:gridCol w:w="911"/>
              <w:gridCol w:w="1665"/>
              <w:gridCol w:w="1451"/>
              <w:gridCol w:w="1281"/>
              <w:gridCol w:w="1031"/>
            </w:tblGrid>
            <w:tr w14:paraId="6D6EDF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04" w:hRule="atLeast"/>
              </w:trPr>
              <w:tc>
                <w:tcPr>
                  <w:tcW w:w="553" w:type="pct"/>
                  <w:shd w:val="clear" w:color="auto" w:fill="auto"/>
                  <w:vAlign w:val="center"/>
                </w:tcPr>
                <w:p w14:paraId="3A623A4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b/>
                      <w:bCs/>
                      <w:color w:val="auto"/>
                      <w:sz w:val="21"/>
                      <w:szCs w:val="21"/>
                      <w:highlight w:val="none"/>
                    </w:rPr>
                  </w:pPr>
                  <w:r>
                    <w:rPr>
                      <w:rFonts w:hint="eastAsia"/>
                      <w:b/>
                      <w:bCs/>
                      <w:color w:val="auto"/>
                      <w:sz w:val="21"/>
                      <w:szCs w:val="21"/>
                      <w:highlight w:val="none"/>
                      <w:lang w:val="en-US" w:eastAsia="zh-CN"/>
                    </w:rPr>
                    <w:t>生产线名称</w:t>
                  </w:r>
                </w:p>
              </w:tc>
              <w:tc>
                <w:tcPr>
                  <w:tcW w:w="424" w:type="pct"/>
                  <w:shd w:val="clear" w:color="auto" w:fill="auto"/>
                  <w:vAlign w:val="center"/>
                </w:tcPr>
                <w:p w14:paraId="4756657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b/>
                      <w:bCs/>
                      <w:color w:val="auto"/>
                      <w:sz w:val="21"/>
                      <w:szCs w:val="21"/>
                      <w:highlight w:val="none"/>
                      <w:lang w:val="en-US" w:eastAsia="zh-CN"/>
                    </w:rPr>
                  </w:pPr>
                  <w:r>
                    <w:rPr>
                      <w:rFonts w:hint="eastAsia"/>
                      <w:b/>
                      <w:bCs/>
                      <w:color w:val="auto"/>
                      <w:sz w:val="21"/>
                      <w:szCs w:val="21"/>
                      <w:highlight w:val="none"/>
                      <w:lang w:val="en-US" w:eastAsia="zh-CN"/>
                    </w:rPr>
                    <w:t>产品名称</w:t>
                  </w:r>
                </w:p>
              </w:tc>
              <w:tc>
                <w:tcPr>
                  <w:tcW w:w="577" w:type="pct"/>
                  <w:shd w:val="clear" w:color="auto" w:fill="auto"/>
                  <w:vAlign w:val="center"/>
                </w:tcPr>
                <w:p w14:paraId="6E6CEFE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规格</w:t>
                  </w:r>
                  <w:r>
                    <w:rPr>
                      <w:rFonts w:hint="eastAsia" w:cs="Times New Roman"/>
                      <w:b/>
                      <w:bCs/>
                      <w:color w:val="auto"/>
                      <w:sz w:val="21"/>
                      <w:szCs w:val="21"/>
                      <w:highlight w:val="none"/>
                      <w:lang w:val="en-US" w:eastAsia="zh-CN"/>
                    </w:rPr>
                    <w:t>型号</w:t>
                  </w:r>
                </w:p>
              </w:tc>
              <w:tc>
                <w:tcPr>
                  <w:tcW w:w="1056" w:type="pct"/>
                  <w:shd w:val="clear" w:color="auto" w:fill="auto"/>
                  <w:vAlign w:val="center"/>
                </w:tcPr>
                <w:p w14:paraId="3362F9B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产品标准</w:t>
                  </w:r>
                </w:p>
              </w:tc>
              <w:tc>
                <w:tcPr>
                  <w:tcW w:w="920" w:type="pct"/>
                  <w:shd w:val="clear" w:color="auto" w:fill="auto"/>
                  <w:vAlign w:val="center"/>
                </w:tcPr>
                <w:p w14:paraId="4188FE9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产品照片</w:t>
                  </w:r>
                </w:p>
              </w:tc>
              <w:tc>
                <w:tcPr>
                  <w:tcW w:w="812" w:type="pct"/>
                  <w:shd w:val="clear" w:color="auto" w:fill="auto"/>
                  <w:vAlign w:val="center"/>
                </w:tcPr>
                <w:p w14:paraId="3F1F21A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生产</w:t>
                  </w:r>
                  <w:r>
                    <w:rPr>
                      <w:rFonts w:hint="eastAsia" w:cs="Times New Roman"/>
                      <w:b/>
                      <w:bCs/>
                      <w:color w:val="auto"/>
                      <w:sz w:val="21"/>
                      <w:szCs w:val="21"/>
                      <w:highlight w:val="none"/>
                      <w:lang w:val="en-US" w:eastAsia="zh-CN"/>
                    </w:rPr>
                    <w:t>/测试</w:t>
                  </w:r>
                  <w:r>
                    <w:rPr>
                      <w:rFonts w:hint="eastAsia" w:ascii="Times New Roman" w:hAnsi="Times New Roman" w:cs="Times New Roman"/>
                      <w:b/>
                      <w:bCs/>
                      <w:color w:val="auto"/>
                      <w:sz w:val="21"/>
                      <w:szCs w:val="21"/>
                      <w:highlight w:val="none"/>
                      <w:lang w:val="en-US" w:eastAsia="zh-CN"/>
                    </w:rPr>
                    <w:t>能力</w:t>
                  </w:r>
                  <w:r>
                    <w:rPr>
                      <w:rFonts w:hint="eastAsia" w:cs="Times New Roman"/>
                      <w:b/>
                      <w:bCs/>
                      <w:color w:val="auto"/>
                      <w:sz w:val="21"/>
                      <w:szCs w:val="21"/>
                      <w:highlight w:val="none"/>
                      <w:lang w:val="en-US" w:eastAsia="zh-CN"/>
                    </w:rPr>
                    <w:t>（只</w:t>
                  </w:r>
                  <w:r>
                    <w:rPr>
                      <w:rFonts w:hint="eastAsia" w:ascii="Times New Roman" w:hAnsi="Times New Roman" w:cs="Times New Roman"/>
                      <w:b/>
                      <w:bCs/>
                      <w:color w:val="auto"/>
                      <w:sz w:val="21"/>
                      <w:szCs w:val="21"/>
                      <w:highlight w:val="none"/>
                      <w:lang w:val="en-US" w:eastAsia="zh-CN"/>
                    </w:rPr>
                    <w:t>/</w:t>
                  </w:r>
                  <w:r>
                    <w:rPr>
                      <w:rFonts w:hint="eastAsia" w:cs="Times New Roman"/>
                      <w:b/>
                      <w:bCs/>
                      <w:color w:val="auto"/>
                      <w:sz w:val="21"/>
                      <w:szCs w:val="21"/>
                      <w:highlight w:val="none"/>
                      <w:lang w:val="en-US" w:eastAsia="zh-CN"/>
                    </w:rPr>
                    <w:t>年）</w:t>
                  </w:r>
                </w:p>
              </w:tc>
              <w:tc>
                <w:tcPr>
                  <w:tcW w:w="654" w:type="pct"/>
                  <w:shd w:val="clear" w:color="auto" w:fill="auto"/>
                  <w:vAlign w:val="center"/>
                </w:tcPr>
                <w:p w14:paraId="01CC5B5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b/>
                      <w:bCs/>
                      <w:color w:val="auto"/>
                      <w:sz w:val="21"/>
                      <w:szCs w:val="21"/>
                      <w:highlight w:val="none"/>
                    </w:rPr>
                  </w:pPr>
                  <w:r>
                    <w:rPr>
                      <w:rFonts w:hint="eastAsia"/>
                      <w:b/>
                      <w:bCs/>
                      <w:color w:val="auto"/>
                      <w:sz w:val="21"/>
                      <w:szCs w:val="21"/>
                      <w:highlight w:val="none"/>
                      <w:lang w:val="en-US" w:eastAsia="zh-CN"/>
                    </w:rPr>
                    <w:t>设计年工作时间</w:t>
                  </w:r>
                </w:p>
              </w:tc>
            </w:tr>
            <w:tr w14:paraId="6CBB6A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85" w:hRule="atLeast"/>
              </w:trPr>
              <w:tc>
                <w:tcPr>
                  <w:tcW w:w="553" w:type="pct"/>
                  <w:shd w:val="clear" w:color="auto" w:fill="auto"/>
                  <w:vAlign w:val="center"/>
                </w:tcPr>
                <w:p w14:paraId="24269E19">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移动电源</w:t>
                  </w:r>
                  <w:r>
                    <w:rPr>
                      <w:rFonts w:hint="eastAsia" w:ascii="Times New Roman" w:hAnsi="Times New Roman" w:eastAsia="宋体" w:cs="Times New Roman"/>
                      <w:color w:val="auto"/>
                      <w:sz w:val="21"/>
                      <w:szCs w:val="21"/>
                      <w:highlight w:val="none"/>
                      <w:lang w:val="en-US" w:eastAsia="zh-CN"/>
                    </w:rPr>
                    <w:t>设备</w:t>
                  </w:r>
                  <w:r>
                    <w:rPr>
                      <w:rFonts w:hint="eastAsia" w:cs="Times New Roman"/>
                      <w:color w:val="auto"/>
                      <w:sz w:val="21"/>
                      <w:szCs w:val="21"/>
                      <w:highlight w:val="none"/>
                      <w:lang w:val="en-US" w:eastAsia="zh-CN"/>
                    </w:rPr>
                    <w:t>生产线</w:t>
                  </w:r>
                </w:p>
              </w:tc>
              <w:tc>
                <w:tcPr>
                  <w:tcW w:w="424" w:type="pct"/>
                  <w:shd w:val="clear" w:color="auto" w:fill="auto"/>
                  <w:vAlign w:val="center"/>
                </w:tcPr>
                <w:p w14:paraId="09F0FB87">
                  <w:pPr>
                    <w:pStyle w:val="48"/>
                    <w:keepNext w:val="0"/>
                    <w:keepLines w:val="0"/>
                    <w:pageBreakBefore w:val="0"/>
                    <w:kinsoku/>
                    <w:wordWrap/>
                    <w:overflowPunct/>
                    <w:topLinePunct w:val="0"/>
                    <w:autoSpaceDE/>
                    <w:autoSpaceDN/>
                    <w:bidi w:val="0"/>
                    <w:spacing w:line="240" w:lineRule="exact"/>
                    <w:rPr>
                      <w:rFonts w:hint="default"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移动电源</w:t>
                  </w:r>
                </w:p>
              </w:tc>
              <w:tc>
                <w:tcPr>
                  <w:tcW w:w="577" w:type="pct"/>
                  <w:shd w:val="clear" w:color="auto" w:fill="auto"/>
                  <w:vAlign w:val="center"/>
                </w:tcPr>
                <w:p w14:paraId="454076CC">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内置‌25000mAh‌电芯</w:t>
                  </w:r>
                </w:p>
              </w:tc>
              <w:tc>
                <w:tcPr>
                  <w:tcW w:w="1056" w:type="pct"/>
                  <w:shd w:val="clear" w:color="auto" w:fill="auto"/>
                  <w:vAlign w:val="center"/>
                </w:tcPr>
                <w:p w14:paraId="0C09FA25">
                  <w:pPr>
                    <w:pStyle w:val="48"/>
                    <w:keepNext w:val="0"/>
                    <w:keepLines w:val="0"/>
                    <w:pageBreakBefore w:val="0"/>
                    <w:widowControl w:val="0"/>
                    <w:kinsoku/>
                    <w:wordWrap w:val="0"/>
                    <w:overflowPunct/>
                    <w:topLinePunct w:val="0"/>
                    <w:autoSpaceDE/>
                    <w:autoSpaceDN/>
                    <w:bidi w:val="0"/>
                    <w:adjustRightInd w:val="0"/>
                    <w:snapToGrid w:val="0"/>
                    <w:spacing w:line="240" w:lineRule="exact"/>
                    <w:jc w:val="both"/>
                    <w:textAlignment w:val="auto"/>
                    <w:rPr>
                      <w:color w:val="auto"/>
                      <w:highlight w:val="none"/>
                    </w:rPr>
                  </w:pPr>
                  <w:r>
                    <w:rPr>
                      <w:rFonts w:hint="eastAsia"/>
                      <w:color w:val="auto"/>
                      <w:highlight w:val="none"/>
                      <w:lang w:eastAsia="zh-CN"/>
                    </w:rPr>
                    <w:t>《便携式电子产品用锂离子电池和电池组 安全技术规范》（</w:t>
                  </w:r>
                  <w:r>
                    <w:rPr>
                      <w:rFonts w:hint="eastAsia"/>
                      <w:color w:val="auto"/>
                      <w:highlight w:val="none"/>
                    </w:rPr>
                    <w:t>GB31241-20</w:t>
                  </w:r>
                  <w:r>
                    <w:rPr>
                      <w:rFonts w:hint="eastAsia"/>
                      <w:color w:val="auto"/>
                      <w:highlight w:val="none"/>
                      <w:lang w:eastAsia="zh-CN"/>
                    </w:rPr>
                    <w:t>22）</w:t>
                  </w:r>
                  <w:r>
                    <w:rPr>
                      <w:rFonts w:hint="eastAsia"/>
                      <w:color w:val="auto"/>
                      <w:highlight w:val="none"/>
                    </w:rPr>
                    <w:t>；</w:t>
                  </w:r>
                  <w:r>
                    <w:rPr>
                      <w:rFonts w:hint="eastAsia"/>
                      <w:color w:val="auto"/>
                      <w:highlight w:val="none"/>
                      <w:lang w:val="en-US" w:eastAsia="zh-CN"/>
                    </w:rPr>
                    <w:t>《</w:t>
                  </w:r>
                  <w:r>
                    <w:rPr>
                      <w:rFonts w:hint="eastAsia"/>
                      <w:color w:val="auto"/>
                      <w:highlight w:val="none"/>
                    </w:rPr>
                    <w:t>移动电源安全技术规范</w:t>
                  </w:r>
                  <w:r>
                    <w:rPr>
                      <w:rFonts w:hint="eastAsia"/>
                      <w:color w:val="auto"/>
                      <w:highlight w:val="none"/>
                      <w:lang w:eastAsia="zh-CN"/>
                    </w:rPr>
                    <w:t>》（</w:t>
                  </w:r>
                  <w:sdt>
                    <w:sdtPr>
                      <w:rPr>
                        <w:color w:val="auto"/>
                      </w:rPr>
                      <w:alias w:val="标准未收录"/>
                      <w:tag w:val="reviewtag_"/>
                      <w:id w:val="1180501"/>
                    </w:sdtPr>
                    <w:sdtEndPr>
                      <w:rPr>
                        <w:color w:val="auto"/>
                      </w:rPr>
                    </w:sdtEndPr>
                    <w:sdtContent>
                      <w:bookmarkStart w:id="84" w:name="bkReivew1180501"/>
                      <w:r>
                        <w:rPr>
                          <w:rFonts w:hint="eastAsia"/>
                          <w:color w:val="auto"/>
                          <w:highlight w:val="none"/>
                          <w:lang w:val="en-US" w:eastAsia="zh-CN"/>
                        </w:rPr>
                        <w:t>GB47372</w:t>
                      </w:r>
                      <w:bookmarkEnd w:id="84"/>
                    </w:sdtContent>
                  </w:sdt>
                  <w:r>
                    <w:rPr>
                      <w:rFonts w:hint="eastAsia"/>
                      <w:color w:val="auto"/>
                      <w:highlight w:val="none"/>
                      <w:lang w:eastAsia="zh-CN"/>
                    </w:rPr>
                    <w:t>）</w:t>
                  </w:r>
                </w:p>
              </w:tc>
              <w:tc>
                <w:tcPr>
                  <w:tcW w:w="920" w:type="pct"/>
                  <w:shd w:val="clear" w:color="auto" w:fill="auto"/>
                  <w:vAlign w:val="center"/>
                </w:tcPr>
                <w:p w14:paraId="2BF9B76D">
                  <w:pPr>
                    <w:pStyle w:val="48"/>
                    <w:keepNext w:val="0"/>
                    <w:keepLines w:val="0"/>
                    <w:pageBreakBefore w:val="0"/>
                    <w:kinsoku/>
                    <w:wordWrap/>
                    <w:overflowPunct/>
                    <w:topLinePunct w:val="0"/>
                    <w:autoSpaceDE/>
                    <w:autoSpaceDN/>
                    <w:bidi w:val="0"/>
                    <w:spacing w:line="240" w:lineRule="exact"/>
                    <w:jc w:val="center"/>
                    <w:rPr>
                      <w:rFonts w:hint="eastAsia" w:cs="Times New Roman"/>
                      <w:color w:val="auto"/>
                      <w:sz w:val="21"/>
                      <w:szCs w:val="21"/>
                      <w:highlight w:val="none"/>
                      <w:lang w:val="en-US" w:eastAsia="zh-CN"/>
                    </w:rPr>
                  </w:pPr>
                  <w:r>
                    <w:rPr>
                      <w:color w:val="auto"/>
                      <w:highlight w:val="none"/>
                    </w:rPr>
                    <w:drawing>
                      <wp:anchor distT="0" distB="0" distL="114300" distR="114300" simplePos="0" relativeHeight="251670528" behindDoc="0" locked="0" layoutInCell="1" allowOverlap="1">
                        <wp:simplePos x="0" y="0"/>
                        <wp:positionH relativeFrom="column">
                          <wp:posOffset>-111760</wp:posOffset>
                        </wp:positionH>
                        <wp:positionV relativeFrom="paragraph">
                          <wp:posOffset>365125</wp:posOffset>
                        </wp:positionV>
                        <wp:extent cx="1136015" cy="581660"/>
                        <wp:effectExtent l="0" t="0" r="8890" b="6985"/>
                        <wp:wrapTopAndBottom/>
                        <wp:docPr id="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pic:cNvPicPr>
                                  <a:picLocks noChangeAspect="1"/>
                                </pic:cNvPicPr>
                              </pic:nvPicPr>
                              <pic:blipFill>
                                <a:blip r:embed="rId15"/>
                                <a:stretch>
                                  <a:fillRect/>
                                </a:stretch>
                              </pic:blipFill>
                              <pic:spPr>
                                <a:xfrm rot="5400000">
                                  <a:off x="0" y="0"/>
                                  <a:ext cx="1136015" cy="581660"/>
                                </a:xfrm>
                                <a:prstGeom prst="rect">
                                  <a:avLst/>
                                </a:prstGeom>
                                <a:noFill/>
                                <a:ln>
                                  <a:noFill/>
                                </a:ln>
                              </pic:spPr>
                            </pic:pic>
                          </a:graphicData>
                        </a:graphic>
                      </wp:anchor>
                    </w:drawing>
                  </w:r>
                </w:p>
              </w:tc>
              <w:tc>
                <w:tcPr>
                  <w:tcW w:w="812" w:type="pct"/>
                  <w:shd w:val="clear" w:color="auto" w:fill="auto"/>
                  <w:vAlign w:val="center"/>
                </w:tcPr>
                <w:p w14:paraId="3A40E2E5">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r>
                    <w:rPr>
                      <w:rFonts w:hint="eastAsia" w:cs="Times New Roman"/>
                      <w:b w:val="0"/>
                      <w:bCs w:val="0"/>
                      <w:color w:val="auto"/>
                      <w:sz w:val="21"/>
                      <w:szCs w:val="21"/>
                      <w:highlight w:val="none"/>
                      <w:lang w:val="en-US" w:eastAsia="zh-CN"/>
                    </w:rPr>
                    <w:t>2万</w:t>
                  </w:r>
                </w:p>
              </w:tc>
              <w:tc>
                <w:tcPr>
                  <w:tcW w:w="654" w:type="pct"/>
                  <w:shd w:val="clear" w:color="auto" w:fill="auto"/>
                  <w:vAlign w:val="center"/>
                </w:tcPr>
                <w:p w14:paraId="27CE633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2000h</w:t>
                  </w:r>
                </w:p>
              </w:tc>
            </w:tr>
            <w:tr w14:paraId="611E53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896" w:hRule="atLeast"/>
              </w:trPr>
              <w:tc>
                <w:tcPr>
                  <w:tcW w:w="553" w:type="pct"/>
                  <w:tcBorders>
                    <w:bottom w:val="single" w:color="000000" w:sz="12" w:space="0"/>
                  </w:tcBorders>
                  <w:shd w:val="clear" w:color="auto" w:fill="auto"/>
                  <w:vAlign w:val="center"/>
                </w:tcPr>
                <w:p w14:paraId="70B92D55">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对外</w:t>
                  </w:r>
                  <w:r>
                    <w:rPr>
                      <w:rFonts w:hint="eastAsia" w:ascii="Times New Roman" w:hAnsi="Times New Roman" w:eastAsia="宋体" w:cs="Times New Roman"/>
                      <w:color w:val="auto"/>
                      <w:sz w:val="21"/>
                      <w:szCs w:val="21"/>
                      <w:highlight w:val="none"/>
                      <w:lang w:val="en-US" w:eastAsia="zh-CN"/>
                    </w:rPr>
                    <w:t>测试线</w:t>
                  </w:r>
                </w:p>
              </w:tc>
              <w:tc>
                <w:tcPr>
                  <w:tcW w:w="424" w:type="pct"/>
                  <w:tcBorders>
                    <w:bottom w:val="single" w:color="000000" w:sz="12" w:space="0"/>
                  </w:tcBorders>
                  <w:shd w:val="clear" w:color="auto" w:fill="auto"/>
                  <w:vAlign w:val="center"/>
                </w:tcPr>
                <w:p w14:paraId="3019774A">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移动电源</w:t>
                  </w:r>
                </w:p>
              </w:tc>
              <w:tc>
                <w:tcPr>
                  <w:tcW w:w="577" w:type="pct"/>
                  <w:tcBorders>
                    <w:bottom w:val="single" w:color="000000" w:sz="12" w:space="0"/>
                  </w:tcBorders>
                  <w:shd w:val="clear" w:color="auto" w:fill="auto"/>
                  <w:vAlign w:val="center"/>
                </w:tcPr>
                <w:p w14:paraId="13507C5D">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锂离子</w:t>
                  </w:r>
                </w:p>
              </w:tc>
              <w:tc>
                <w:tcPr>
                  <w:tcW w:w="1056" w:type="pct"/>
                  <w:tcBorders>
                    <w:bottom w:val="single" w:color="000000" w:sz="12" w:space="0"/>
                  </w:tcBorders>
                  <w:shd w:val="clear" w:color="auto" w:fill="auto"/>
                  <w:vAlign w:val="center"/>
                </w:tcPr>
                <w:p w14:paraId="59BEFA24">
                  <w:pPr>
                    <w:pStyle w:val="48"/>
                    <w:keepNext w:val="0"/>
                    <w:keepLines w:val="0"/>
                    <w:pageBreakBefore w:val="0"/>
                    <w:kinsoku/>
                    <w:wordWrap/>
                    <w:overflowPunct/>
                    <w:topLinePunct w:val="0"/>
                    <w:autoSpaceDE/>
                    <w:autoSpaceDN/>
                    <w:bidi w:val="0"/>
                    <w:spacing w:line="240" w:lineRule="exact"/>
                    <w:rPr>
                      <w:rFonts w:hint="eastAsia" w:eastAsia="宋体"/>
                      <w:color w:val="auto"/>
                      <w:highlight w:val="none"/>
                      <w:lang w:val="en-US" w:eastAsia="zh-CN"/>
                    </w:rPr>
                  </w:pPr>
                  <w:r>
                    <w:rPr>
                      <w:rFonts w:hint="eastAsia"/>
                      <w:color w:val="auto"/>
                      <w:highlight w:val="none"/>
                      <w:lang w:val="en-US" w:eastAsia="zh-CN"/>
                    </w:rPr>
                    <w:t>/</w:t>
                  </w:r>
                </w:p>
              </w:tc>
              <w:tc>
                <w:tcPr>
                  <w:tcW w:w="920" w:type="pct"/>
                  <w:tcBorders>
                    <w:bottom w:val="single" w:color="000000" w:sz="12" w:space="0"/>
                  </w:tcBorders>
                  <w:shd w:val="clear" w:color="auto" w:fill="auto"/>
                  <w:vAlign w:val="center"/>
                </w:tcPr>
                <w:p w14:paraId="2822369E">
                  <w:pPr>
                    <w:pStyle w:val="48"/>
                    <w:keepNext w:val="0"/>
                    <w:keepLines w:val="0"/>
                    <w:pageBreakBefore w:val="0"/>
                    <w:kinsoku/>
                    <w:wordWrap/>
                    <w:overflowPunct/>
                    <w:topLinePunct w:val="0"/>
                    <w:autoSpaceDE/>
                    <w:autoSpaceDN/>
                    <w:bidi w:val="0"/>
                    <w:spacing w:line="240" w:lineRule="exact"/>
                    <w:rPr>
                      <w:color w:val="auto"/>
                      <w:highlight w:val="yellow"/>
                    </w:rPr>
                  </w:pPr>
                  <w:r>
                    <w:rPr>
                      <w:color w:val="auto"/>
                      <w:highlight w:val="yellow"/>
                    </w:rPr>
                    <w:drawing>
                      <wp:anchor distT="0" distB="0" distL="114300" distR="114300" simplePos="0" relativeHeight="251671552" behindDoc="0" locked="0" layoutInCell="1" allowOverlap="1">
                        <wp:simplePos x="0" y="0"/>
                        <wp:positionH relativeFrom="column">
                          <wp:posOffset>-20955</wp:posOffset>
                        </wp:positionH>
                        <wp:positionV relativeFrom="paragraph">
                          <wp:posOffset>127000</wp:posOffset>
                        </wp:positionV>
                        <wp:extent cx="891540" cy="1101725"/>
                        <wp:effectExtent l="0" t="0" r="3810" b="3175"/>
                        <wp:wrapTopAndBottom/>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16"/>
                                <a:stretch>
                                  <a:fillRect/>
                                </a:stretch>
                              </pic:blipFill>
                              <pic:spPr>
                                <a:xfrm>
                                  <a:off x="0" y="0"/>
                                  <a:ext cx="891540" cy="1101725"/>
                                </a:xfrm>
                                <a:prstGeom prst="rect">
                                  <a:avLst/>
                                </a:prstGeom>
                                <a:noFill/>
                                <a:ln>
                                  <a:noFill/>
                                </a:ln>
                              </pic:spPr>
                            </pic:pic>
                          </a:graphicData>
                        </a:graphic>
                      </wp:anchor>
                    </w:drawing>
                  </w:r>
                </w:p>
              </w:tc>
              <w:tc>
                <w:tcPr>
                  <w:tcW w:w="812" w:type="pct"/>
                  <w:tcBorders>
                    <w:bottom w:val="single" w:color="000000" w:sz="12" w:space="0"/>
                  </w:tcBorders>
                  <w:shd w:val="clear" w:color="auto" w:fill="auto"/>
                  <w:vAlign w:val="center"/>
                </w:tcPr>
                <w:p w14:paraId="6D01BE3D">
                  <w:pPr>
                    <w:pStyle w:val="48"/>
                    <w:keepNext w:val="0"/>
                    <w:keepLines w:val="0"/>
                    <w:pageBreakBefore w:val="0"/>
                    <w:kinsoku/>
                    <w:wordWrap/>
                    <w:overflowPunct/>
                    <w:topLinePunct w:val="0"/>
                    <w:autoSpaceDE/>
                    <w:autoSpaceDN/>
                    <w:bidi w:val="0"/>
                    <w:spacing w:line="240" w:lineRule="exact"/>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4800（仅含对外测试量）</w:t>
                  </w:r>
                </w:p>
              </w:tc>
              <w:tc>
                <w:tcPr>
                  <w:tcW w:w="654" w:type="pct"/>
                  <w:tcBorders>
                    <w:bottom w:val="single" w:color="000000" w:sz="12" w:space="0"/>
                  </w:tcBorders>
                  <w:shd w:val="clear" w:color="auto" w:fill="auto"/>
                  <w:vAlign w:val="center"/>
                </w:tcPr>
                <w:p w14:paraId="20CC1B4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color w:val="auto"/>
                      <w:sz w:val="21"/>
                      <w:szCs w:val="21"/>
                      <w:highlight w:val="none"/>
                      <w:lang w:val="en-US" w:eastAsia="zh-CN"/>
                    </w:rPr>
                  </w:pPr>
                  <w:r>
                    <w:rPr>
                      <w:rFonts w:hint="eastAsia"/>
                      <w:color w:val="auto"/>
                      <w:sz w:val="21"/>
                      <w:szCs w:val="21"/>
                      <w:highlight w:val="none"/>
                      <w:lang w:val="en-US" w:eastAsia="zh-CN"/>
                    </w:rPr>
                    <w:t>2000h</w:t>
                  </w:r>
                </w:p>
              </w:tc>
            </w:tr>
          </w:tbl>
          <w:p w14:paraId="1FA7EFB3">
            <w:pPr>
              <w:ind w:firstLine="480"/>
              <w:rPr>
                <w:rFonts w:hint="default"/>
                <w:b/>
                <w:bCs/>
                <w:color w:val="auto"/>
                <w:highlight w:val="none"/>
                <w:lang w:val="en-US" w:eastAsia="zh-CN"/>
              </w:rPr>
            </w:pPr>
            <w:r>
              <w:rPr>
                <w:rFonts w:hint="eastAsia"/>
                <w:b/>
                <w:bCs/>
                <w:color w:val="auto"/>
                <w:highlight w:val="none"/>
                <w:lang w:val="en-US" w:eastAsia="zh-CN"/>
              </w:rPr>
              <w:t>（2）项目组成</w:t>
            </w:r>
          </w:p>
          <w:p w14:paraId="3851F455">
            <w:pPr>
              <w:ind w:firstLine="480"/>
              <w:rPr>
                <w:rFonts w:hint="eastAsia"/>
                <w:color w:val="auto"/>
                <w:highlight w:val="none"/>
                <w:lang w:val="en-US" w:eastAsia="zh-CN"/>
              </w:rPr>
            </w:pPr>
            <w:r>
              <w:rPr>
                <w:rFonts w:hint="eastAsia"/>
                <w:color w:val="auto"/>
                <w:highlight w:val="none"/>
                <w:lang w:val="en-US" w:eastAsia="zh-CN"/>
              </w:rPr>
              <w:t>本项目工程组成分别见下表。</w:t>
            </w:r>
          </w:p>
          <w:p w14:paraId="07664CF7">
            <w:pPr>
              <w:pStyle w:val="50"/>
              <w:bidi w:val="0"/>
              <w:ind w:left="0" w:leftChars="0" w:firstLine="0" w:firstLineChars="0"/>
              <w:rPr>
                <w:color w:val="auto"/>
                <w:highlight w:val="none"/>
              </w:rPr>
            </w:pPr>
            <w:r>
              <w:rPr>
                <w:color w:val="auto"/>
                <w:highlight w:val="none"/>
              </w:rPr>
              <w:t>工程组成一览表</w:t>
            </w:r>
          </w:p>
          <w:tbl>
            <w:tblPr>
              <w:tblStyle w:val="33"/>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04"/>
              <w:gridCol w:w="398"/>
              <w:gridCol w:w="1071"/>
              <w:gridCol w:w="3714"/>
              <w:gridCol w:w="1888"/>
            </w:tblGrid>
            <w:tr w14:paraId="0B8DB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Align w:val="center"/>
                </w:tcPr>
                <w:p w14:paraId="1E80C8FD">
                  <w:pPr>
                    <w:pStyle w:val="48"/>
                    <w:tabs>
                      <w:tab w:val="left" w:pos="0"/>
                    </w:tabs>
                    <w:bidi w:val="0"/>
                    <w:rPr>
                      <w:b/>
                      <w:bCs/>
                      <w:color w:val="auto"/>
                      <w:highlight w:val="none"/>
                    </w:rPr>
                  </w:pPr>
                  <w:r>
                    <w:rPr>
                      <w:b/>
                      <w:bCs/>
                      <w:color w:val="auto"/>
                      <w:highlight w:val="none"/>
                    </w:rPr>
                    <w:t>类别</w:t>
                  </w:r>
                </w:p>
              </w:tc>
              <w:tc>
                <w:tcPr>
                  <w:tcW w:w="932" w:type="pct"/>
                  <w:gridSpan w:val="2"/>
                  <w:vAlign w:val="center"/>
                </w:tcPr>
                <w:p w14:paraId="2E97AB31">
                  <w:pPr>
                    <w:pStyle w:val="48"/>
                    <w:tabs>
                      <w:tab w:val="left" w:pos="0"/>
                    </w:tabs>
                    <w:bidi w:val="0"/>
                    <w:rPr>
                      <w:b/>
                      <w:bCs/>
                      <w:color w:val="auto"/>
                      <w:highlight w:val="none"/>
                    </w:rPr>
                  </w:pPr>
                  <w:r>
                    <w:rPr>
                      <w:b/>
                      <w:bCs/>
                      <w:color w:val="auto"/>
                      <w:highlight w:val="none"/>
                    </w:rPr>
                    <w:t>建设名称</w:t>
                  </w:r>
                </w:p>
              </w:tc>
              <w:tc>
                <w:tcPr>
                  <w:tcW w:w="2357" w:type="pct"/>
                  <w:vAlign w:val="center"/>
                </w:tcPr>
                <w:p w14:paraId="70E4C3F6">
                  <w:pPr>
                    <w:pStyle w:val="48"/>
                    <w:tabs>
                      <w:tab w:val="left" w:pos="0"/>
                    </w:tabs>
                    <w:bidi w:val="0"/>
                    <w:rPr>
                      <w:b/>
                      <w:bCs/>
                      <w:color w:val="auto"/>
                      <w:highlight w:val="none"/>
                    </w:rPr>
                  </w:pPr>
                  <w:r>
                    <w:rPr>
                      <w:b/>
                      <w:bCs/>
                      <w:color w:val="auto"/>
                      <w:highlight w:val="none"/>
                    </w:rPr>
                    <w:t>设计能力/设计规模</w:t>
                  </w:r>
                </w:p>
              </w:tc>
              <w:tc>
                <w:tcPr>
                  <w:tcW w:w="1198" w:type="pct"/>
                  <w:vAlign w:val="center"/>
                </w:tcPr>
                <w:p w14:paraId="5AE1D76A">
                  <w:pPr>
                    <w:pStyle w:val="48"/>
                    <w:tabs>
                      <w:tab w:val="left" w:pos="0"/>
                    </w:tabs>
                    <w:bidi w:val="0"/>
                    <w:rPr>
                      <w:rFonts w:hint="eastAsia"/>
                      <w:b/>
                      <w:bCs/>
                      <w:color w:val="auto"/>
                      <w:highlight w:val="none"/>
                      <w:lang w:eastAsia="zh-CN"/>
                    </w:rPr>
                  </w:pPr>
                  <w:r>
                    <w:rPr>
                      <w:rFonts w:hint="eastAsia"/>
                      <w:b/>
                      <w:bCs/>
                      <w:color w:val="auto"/>
                      <w:highlight w:val="none"/>
                      <w:lang w:val="en-US" w:eastAsia="zh-CN"/>
                    </w:rPr>
                    <w:t>备注</w:t>
                  </w:r>
                </w:p>
              </w:tc>
            </w:tr>
            <w:tr w14:paraId="57AC13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restart"/>
                  <w:vAlign w:val="center"/>
                </w:tcPr>
                <w:p w14:paraId="6C97F4D4">
                  <w:pPr>
                    <w:pStyle w:val="48"/>
                    <w:tabs>
                      <w:tab w:val="left" w:pos="0"/>
                    </w:tabs>
                    <w:bidi w:val="0"/>
                    <w:rPr>
                      <w:color w:val="auto"/>
                      <w:highlight w:val="none"/>
                    </w:rPr>
                  </w:pPr>
                  <w:r>
                    <w:rPr>
                      <w:rFonts w:hint="eastAsia"/>
                      <w:color w:val="auto"/>
                      <w:highlight w:val="none"/>
                      <w:lang w:val="en-US" w:eastAsia="zh-CN"/>
                    </w:rPr>
                    <w:t>主体</w:t>
                  </w:r>
                  <w:r>
                    <w:rPr>
                      <w:rFonts w:hint="eastAsia"/>
                      <w:color w:val="auto"/>
                      <w:highlight w:val="none"/>
                    </w:rPr>
                    <w:t>工程</w:t>
                  </w:r>
                </w:p>
              </w:tc>
              <w:tc>
                <w:tcPr>
                  <w:tcW w:w="932" w:type="pct"/>
                  <w:gridSpan w:val="2"/>
                  <w:vAlign w:val="center"/>
                </w:tcPr>
                <w:p w14:paraId="78B5701C">
                  <w:pPr>
                    <w:pStyle w:val="48"/>
                    <w:tabs>
                      <w:tab w:val="left" w:pos="0"/>
                    </w:tabs>
                    <w:bidi w:val="0"/>
                    <w:rPr>
                      <w:rFonts w:hint="eastAsia" w:eastAsia="宋体"/>
                      <w:color w:val="auto"/>
                      <w:highlight w:val="none"/>
                      <w:lang w:eastAsia="zh-CN"/>
                    </w:rPr>
                  </w:pPr>
                  <w:r>
                    <w:rPr>
                      <w:rFonts w:hint="eastAsia"/>
                      <w:color w:val="auto"/>
                      <w:highlight w:val="none"/>
                    </w:rPr>
                    <w:t>生产</w:t>
                  </w:r>
                  <w:r>
                    <w:rPr>
                      <w:rFonts w:hint="eastAsia"/>
                      <w:color w:val="auto"/>
                      <w:highlight w:val="none"/>
                      <w:lang w:val="en-US" w:eastAsia="zh-CN"/>
                    </w:rPr>
                    <w:t>区</w:t>
                  </w:r>
                </w:p>
              </w:tc>
              <w:tc>
                <w:tcPr>
                  <w:tcW w:w="2357" w:type="pct"/>
                  <w:vAlign w:val="center"/>
                </w:tcPr>
                <w:p w14:paraId="65B2FD32">
                  <w:pPr>
                    <w:pStyle w:val="48"/>
                    <w:tabs>
                      <w:tab w:val="left" w:pos="0"/>
                    </w:tabs>
                    <w:bidi w:val="0"/>
                    <w:rPr>
                      <w:rFonts w:hint="default"/>
                      <w:color w:val="auto"/>
                      <w:highlight w:val="none"/>
                      <w:lang w:val="en-US" w:eastAsia="zh-CN"/>
                    </w:rPr>
                  </w:pPr>
                  <w:r>
                    <w:rPr>
                      <w:rFonts w:hint="eastAsia"/>
                      <w:color w:val="auto"/>
                      <w:highlight w:val="none"/>
                      <w:lang w:val="en-US" w:eastAsia="zh-CN"/>
                    </w:rPr>
                    <w:t>面积41m</w:t>
                  </w:r>
                  <w:r>
                    <w:rPr>
                      <w:rFonts w:hint="eastAsia"/>
                      <w:color w:val="auto"/>
                      <w:highlight w:val="none"/>
                      <w:vertAlign w:val="superscript"/>
                      <w:lang w:val="en-US" w:eastAsia="zh-CN"/>
                    </w:rPr>
                    <w:t>2</w:t>
                  </w:r>
                  <w:r>
                    <w:rPr>
                      <w:rFonts w:hint="eastAsia"/>
                      <w:color w:val="auto"/>
                      <w:highlight w:val="none"/>
                      <w:vertAlign w:val="baseline"/>
                      <w:lang w:val="en-US" w:eastAsia="zh-CN"/>
                    </w:rPr>
                    <w:t>，</w:t>
                  </w:r>
                  <w:r>
                    <w:rPr>
                      <w:rFonts w:hint="eastAsia"/>
                      <w:color w:val="auto"/>
                      <w:highlight w:val="none"/>
                      <w:lang w:val="en-US" w:eastAsia="zh-CN"/>
                    </w:rPr>
                    <w:t>新建1条</w:t>
                  </w:r>
                  <w:r>
                    <w:rPr>
                      <w:rFonts w:hint="eastAsia"/>
                      <w:color w:val="auto"/>
                      <w:szCs w:val="22"/>
                      <w:highlight w:val="none"/>
                      <w:lang w:val="en-US" w:eastAsia="zh-CN"/>
                    </w:rPr>
                    <w:t>移动电源设备</w:t>
                  </w:r>
                  <w:r>
                    <w:rPr>
                      <w:rFonts w:hint="eastAsia"/>
                      <w:color w:val="auto"/>
                      <w:highlight w:val="none"/>
                      <w:lang w:val="en-US" w:eastAsia="zh-CN"/>
                    </w:rPr>
                    <w:t>生产线，形成</w:t>
                  </w:r>
                  <w:r>
                    <w:rPr>
                      <w:rFonts w:hint="eastAsia" w:ascii="Times New Roman" w:hAnsi="Times New Roman" w:cs="Times New Roman"/>
                      <w:color w:val="auto"/>
                      <w:highlight w:val="none"/>
                      <w:lang w:val="en-US" w:eastAsia="zh-CN"/>
                    </w:rPr>
                    <w:t>年产12万只移动电源设备的能力</w:t>
                  </w:r>
                </w:p>
              </w:tc>
              <w:tc>
                <w:tcPr>
                  <w:tcW w:w="1198" w:type="pct"/>
                  <w:vAlign w:val="center"/>
                </w:tcPr>
                <w:p w14:paraId="565F61AB">
                  <w:pPr>
                    <w:pStyle w:val="48"/>
                    <w:tabs>
                      <w:tab w:val="left" w:pos="0"/>
                    </w:tabs>
                    <w:bidi w:val="0"/>
                    <w:rPr>
                      <w:rFonts w:hint="eastAsia" w:eastAsia="宋体"/>
                      <w:color w:val="auto"/>
                      <w:highlight w:val="none"/>
                      <w:lang w:val="en-US" w:eastAsia="zh-CN"/>
                    </w:rPr>
                  </w:pPr>
                  <w:r>
                    <w:rPr>
                      <w:rFonts w:hint="eastAsia"/>
                      <w:color w:val="auto"/>
                      <w:highlight w:val="none"/>
                      <w:lang w:val="en-US" w:eastAsia="zh-CN"/>
                    </w:rPr>
                    <w:t>租赁</w:t>
                  </w:r>
                  <w:r>
                    <w:rPr>
                      <w:rFonts w:hint="eastAsia"/>
                      <w:color w:val="auto"/>
                      <w:highlight w:val="none"/>
                    </w:rPr>
                    <w:t>现有厂房，新建</w:t>
                  </w:r>
                  <w:r>
                    <w:rPr>
                      <w:rFonts w:hint="eastAsia"/>
                      <w:color w:val="auto"/>
                      <w:highlight w:val="none"/>
                      <w:lang w:val="en-US" w:eastAsia="zh-CN"/>
                    </w:rPr>
                    <w:t>移动电源设备</w:t>
                  </w:r>
                  <w:r>
                    <w:rPr>
                      <w:rFonts w:hint="eastAsia"/>
                      <w:color w:val="auto"/>
                      <w:highlight w:val="none"/>
                    </w:rPr>
                    <w:t>生产线</w:t>
                  </w:r>
                </w:p>
              </w:tc>
            </w:tr>
            <w:tr w14:paraId="3DBD7F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continue"/>
                  <w:shd w:val="clear" w:color="auto" w:fill="auto"/>
                  <w:vAlign w:val="center"/>
                </w:tcPr>
                <w:p w14:paraId="25F2387A">
                  <w:pPr>
                    <w:pStyle w:val="48"/>
                    <w:tabs>
                      <w:tab w:val="left" w:pos="0"/>
                    </w:tabs>
                    <w:bidi w:val="0"/>
                    <w:rPr>
                      <w:rFonts w:hint="eastAsia"/>
                      <w:color w:val="auto"/>
                      <w:highlight w:val="none"/>
                      <w:lang w:val="en-US" w:eastAsia="zh-CN"/>
                    </w:rPr>
                  </w:pPr>
                </w:p>
              </w:tc>
              <w:tc>
                <w:tcPr>
                  <w:tcW w:w="932" w:type="pct"/>
                  <w:gridSpan w:val="2"/>
                  <w:shd w:val="clear" w:color="auto" w:fill="auto"/>
                  <w:vAlign w:val="center"/>
                </w:tcPr>
                <w:p w14:paraId="2BBB1953">
                  <w:pPr>
                    <w:pStyle w:val="48"/>
                    <w:tabs>
                      <w:tab w:val="left" w:pos="0"/>
                    </w:tabs>
                    <w:bidi w:val="0"/>
                    <w:rPr>
                      <w:rFonts w:hint="eastAsia" w:eastAsia="宋体"/>
                      <w:color w:val="auto"/>
                      <w:highlight w:val="none"/>
                      <w:lang w:val="en-US" w:eastAsia="zh-CN"/>
                    </w:rPr>
                  </w:pPr>
                  <w:r>
                    <w:rPr>
                      <w:rFonts w:hint="eastAsia"/>
                      <w:color w:val="auto"/>
                      <w:highlight w:val="none"/>
                      <w:lang w:val="en-US" w:eastAsia="zh-CN"/>
                    </w:rPr>
                    <w:t>测试区</w:t>
                  </w:r>
                </w:p>
              </w:tc>
              <w:tc>
                <w:tcPr>
                  <w:tcW w:w="2357" w:type="pct"/>
                  <w:shd w:val="clear" w:color="auto" w:fill="auto"/>
                  <w:vAlign w:val="center"/>
                </w:tcPr>
                <w:p w14:paraId="48C8C4EB">
                  <w:pPr>
                    <w:pStyle w:val="48"/>
                    <w:tabs>
                      <w:tab w:val="left" w:pos="0"/>
                    </w:tabs>
                    <w:bidi w:val="0"/>
                    <w:rPr>
                      <w:rFonts w:hint="eastAsia"/>
                      <w:color w:val="auto"/>
                      <w:highlight w:val="none"/>
                      <w:lang w:val="en-US" w:eastAsia="zh-CN"/>
                    </w:rPr>
                  </w:pPr>
                  <w:r>
                    <w:rPr>
                      <w:rFonts w:hint="eastAsia"/>
                      <w:color w:val="auto"/>
                      <w:highlight w:val="none"/>
                      <w:lang w:val="en-US" w:eastAsia="zh-CN"/>
                    </w:rPr>
                    <w:t>面积118.6m</w:t>
                  </w:r>
                  <w:r>
                    <w:rPr>
                      <w:rFonts w:hint="eastAsia"/>
                      <w:color w:val="auto"/>
                      <w:highlight w:val="none"/>
                      <w:vertAlign w:val="superscript"/>
                      <w:lang w:val="en-US" w:eastAsia="zh-CN"/>
                    </w:rPr>
                    <w:t>2</w:t>
                  </w:r>
                </w:p>
              </w:tc>
              <w:tc>
                <w:tcPr>
                  <w:tcW w:w="1198" w:type="pct"/>
                  <w:vMerge w:val="restart"/>
                  <w:shd w:val="clear" w:color="auto" w:fill="auto"/>
                  <w:vAlign w:val="center"/>
                </w:tcPr>
                <w:p w14:paraId="36BFA8AB">
                  <w:pPr>
                    <w:pStyle w:val="48"/>
                    <w:tabs>
                      <w:tab w:val="left" w:pos="0"/>
                    </w:tabs>
                    <w:bidi w:val="0"/>
                    <w:rPr>
                      <w:rFonts w:hint="default" w:eastAsia="宋体"/>
                      <w:color w:val="auto"/>
                      <w:highlight w:val="none"/>
                      <w:lang w:val="en-US" w:eastAsia="zh-CN"/>
                    </w:rPr>
                  </w:pPr>
                  <w:r>
                    <w:rPr>
                      <w:rFonts w:hint="eastAsia"/>
                      <w:color w:val="auto"/>
                      <w:highlight w:val="none"/>
                      <w:lang w:val="en-US" w:eastAsia="zh-CN"/>
                    </w:rPr>
                    <w:t>租赁</w:t>
                  </w:r>
                  <w:r>
                    <w:rPr>
                      <w:rFonts w:hint="eastAsia"/>
                      <w:color w:val="auto"/>
                      <w:highlight w:val="none"/>
                    </w:rPr>
                    <w:t>现有厂房，</w:t>
                  </w:r>
                  <w:r>
                    <w:rPr>
                      <w:rFonts w:hint="eastAsia"/>
                      <w:color w:val="auto"/>
                      <w:highlight w:val="none"/>
                      <w:lang w:val="en-US" w:eastAsia="zh-CN"/>
                    </w:rPr>
                    <w:t>为生产配套</w:t>
                  </w:r>
                </w:p>
              </w:tc>
            </w:tr>
            <w:tr w14:paraId="4B89F1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continue"/>
                  <w:shd w:val="clear" w:color="auto" w:fill="auto"/>
                  <w:vAlign w:val="center"/>
                </w:tcPr>
                <w:p w14:paraId="4103CB6E">
                  <w:pPr>
                    <w:pStyle w:val="48"/>
                    <w:tabs>
                      <w:tab w:val="left" w:pos="0"/>
                    </w:tabs>
                    <w:bidi w:val="0"/>
                    <w:rPr>
                      <w:rFonts w:hint="eastAsia"/>
                      <w:color w:val="auto"/>
                      <w:highlight w:val="none"/>
                      <w:lang w:val="en-US" w:eastAsia="zh-CN"/>
                    </w:rPr>
                  </w:pPr>
                </w:p>
              </w:tc>
              <w:tc>
                <w:tcPr>
                  <w:tcW w:w="932" w:type="pct"/>
                  <w:gridSpan w:val="2"/>
                  <w:shd w:val="clear" w:color="auto" w:fill="auto"/>
                  <w:vAlign w:val="center"/>
                </w:tcPr>
                <w:p w14:paraId="73285934">
                  <w:pPr>
                    <w:pStyle w:val="48"/>
                    <w:tabs>
                      <w:tab w:val="left" w:pos="0"/>
                    </w:tabs>
                    <w:bidi w:val="0"/>
                    <w:rPr>
                      <w:rFonts w:hint="default" w:eastAsia="宋体"/>
                      <w:color w:val="auto"/>
                      <w:highlight w:val="none"/>
                      <w:lang w:val="en-US" w:eastAsia="zh-CN"/>
                    </w:rPr>
                  </w:pPr>
                  <w:r>
                    <w:rPr>
                      <w:rFonts w:hint="eastAsia"/>
                      <w:color w:val="auto"/>
                      <w:highlight w:val="none"/>
                      <w:lang w:val="en-US" w:eastAsia="zh-CN"/>
                    </w:rPr>
                    <w:t>办公区</w:t>
                  </w:r>
                </w:p>
              </w:tc>
              <w:tc>
                <w:tcPr>
                  <w:tcW w:w="2357" w:type="pct"/>
                  <w:shd w:val="clear" w:color="auto" w:fill="auto"/>
                  <w:vAlign w:val="center"/>
                </w:tcPr>
                <w:p w14:paraId="7B09DC7F">
                  <w:pPr>
                    <w:pStyle w:val="48"/>
                    <w:tabs>
                      <w:tab w:val="left" w:pos="0"/>
                    </w:tabs>
                    <w:bidi w:val="0"/>
                    <w:rPr>
                      <w:rFonts w:hint="eastAsia"/>
                      <w:color w:val="auto"/>
                      <w:highlight w:val="none"/>
                      <w:lang w:val="en-US" w:eastAsia="zh-CN"/>
                    </w:rPr>
                  </w:pPr>
                  <w:r>
                    <w:rPr>
                      <w:rFonts w:hint="eastAsia"/>
                      <w:color w:val="auto"/>
                      <w:highlight w:val="none"/>
                      <w:lang w:val="en-US" w:eastAsia="zh-CN"/>
                    </w:rPr>
                    <w:t>面积10m</w:t>
                  </w:r>
                  <w:r>
                    <w:rPr>
                      <w:rFonts w:hint="eastAsia"/>
                      <w:color w:val="auto"/>
                      <w:highlight w:val="none"/>
                      <w:vertAlign w:val="superscript"/>
                      <w:lang w:val="en-US" w:eastAsia="zh-CN"/>
                    </w:rPr>
                    <w:t>2</w:t>
                  </w:r>
                </w:p>
              </w:tc>
              <w:tc>
                <w:tcPr>
                  <w:tcW w:w="1198" w:type="pct"/>
                  <w:vMerge w:val="continue"/>
                  <w:shd w:val="clear" w:color="auto" w:fill="auto"/>
                  <w:vAlign w:val="center"/>
                </w:tcPr>
                <w:p w14:paraId="43B9151F">
                  <w:pPr>
                    <w:pStyle w:val="48"/>
                    <w:tabs>
                      <w:tab w:val="left" w:pos="0"/>
                    </w:tabs>
                    <w:bidi w:val="0"/>
                    <w:rPr>
                      <w:rFonts w:hint="eastAsia"/>
                      <w:color w:val="auto"/>
                      <w:highlight w:val="none"/>
                      <w:lang w:val="en-US" w:eastAsia="zh-CN"/>
                    </w:rPr>
                  </w:pPr>
                </w:p>
              </w:tc>
            </w:tr>
            <w:tr w14:paraId="0C9A9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Align w:val="center"/>
                </w:tcPr>
                <w:p w14:paraId="550BCBBA">
                  <w:pPr>
                    <w:pStyle w:val="48"/>
                    <w:tabs>
                      <w:tab w:val="left" w:pos="0"/>
                    </w:tabs>
                    <w:bidi w:val="0"/>
                    <w:rPr>
                      <w:color w:val="auto"/>
                      <w:highlight w:val="none"/>
                    </w:rPr>
                  </w:pPr>
                  <w:r>
                    <w:rPr>
                      <w:rFonts w:hint="eastAsia"/>
                      <w:color w:val="auto"/>
                      <w:highlight w:val="none"/>
                      <w:lang w:eastAsia="zh-CN"/>
                    </w:rPr>
                    <w:t>仓储</w:t>
                  </w:r>
                  <w:r>
                    <w:rPr>
                      <w:rFonts w:hint="eastAsia"/>
                      <w:color w:val="auto"/>
                      <w:highlight w:val="none"/>
                    </w:rPr>
                    <w:t>工程</w:t>
                  </w:r>
                </w:p>
              </w:tc>
              <w:tc>
                <w:tcPr>
                  <w:tcW w:w="932" w:type="pct"/>
                  <w:gridSpan w:val="2"/>
                  <w:vAlign w:val="center"/>
                </w:tcPr>
                <w:p w14:paraId="5699DC70">
                  <w:pPr>
                    <w:pStyle w:val="48"/>
                    <w:tabs>
                      <w:tab w:val="left" w:pos="0"/>
                    </w:tabs>
                    <w:bidi w:val="0"/>
                    <w:rPr>
                      <w:rFonts w:hint="default" w:eastAsia="宋体"/>
                      <w:color w:val="auto"/>
                      <w:highlight w:val="none"/>
                      <w:lang w:val="en-US" w:eastAsia="zh-CN"/>
                    </w:rPr>
                  </w:pPr>
                  <w:r>
                    <w:rPr>
                      <w:rFonts w:hint="eastAsia"/>
                      <w:color w:val="auto"/>
                      <w:highlight w:val="none"/>
                      <w:lang w:val="en-US" w:eastAsia="zh-CN"/>
                    </w:rPr>
                    <w:t>原料</w:t>
                  </w:r>
                  <w:r>
                    <w:rPr>
                      <w:rFonts w:hint="eastAsia"/>
                      <w:color w:val="auto"/>
                      <w:highlight w:val="none"/>
                      <w:lang w:eastAsia="zh-CN"/>
                    </w:rPr>
                    <w:t>仓库、</w:t>
                  </w:r>
                  <w:r>
                    <w:rPr>
                      <w:rFonts w:hint="eastAsia"/>
                      <w:color w:val="auto"/>
                      <w:highlight w:val="none"/>
                      <w:lang w:val="en-US" w:eastAsia="zh-CN"/>
                    </w:rPr>
                    <w:t>成品仓库</w:t>
                  </w:r>
                </w:p>
              </w:tc>
              <w:tc>
                <w:tcPr>
                  <w:tcW w:w="2357" w:type="pct"/>
                  <w:vAlign w:val="center"/>
                </w:tcPr>
                <w:p w14:paraId="3A06CFDF">
                  <w:pPr>
                    <w:pStyle w:val="48"/>
                    <w:tabs>
                      <w:tab w:val="left" w:pos="0"/>
                    </w:tabs>
                    <w:bidi w:val="0"/>
                    <w:rPr>
                      <w:rFonts w:hint="default"/>
                      <w:color w:val="auto"/>
                      <w:highlight w:val="none"/>
                      <w:lang w:val="en-US" w:eastAsia="zh-CN"/>
                    </w:rPr>
                  </w:pPr>
                  <w:r>
                    <w:rPr>
                      <w:rFonts w:hint="eastAsia"/>
                      <w:color w:val="auto"/>
                      <w:highlight w:val="none"/>
                      <w:lang w:val="en-US" w:eastAsia="zh-CN"/>
                    </w:rPr>
                    <w:t>位于车间北侧，面积83m</w:t>
                  </w:r>
                  <w:r>
                    <w:rPr>
                      <w:rFonts w:hint="eastAsia"/>
                      <w:color w:val="auto"/>
                      <w:highlight w:val="none"/>
                      <w:vertAlign w:val="superscript"/>
                      <w:lang w:val="en-US" w:eastAsia="zh-CN"/>
                    </w:rPr>
                    <w:t>2</w:t>
                  </w:r>
                </w:p>
              </w:tc>
              <w:tc>
                <w:tcPr>
                  <w:tcW w:w="1198" w:type="pct"/>
                  <w:vAlign w:val="center"/>
                </w:tcPr>
                <w:p w14:paraId="533897AA">
                  <w:pPr>
                    <w:pStyle w:val="48"/>
                    <w:tabs>
                      <w:tab w:val="left" w:pos="0"/>
                    </w:tabs>
                    <w:bidi w:val="0"/>
                    <w:rPr>
                      <w:rFonts w:hint="eastAsia" w:eastAsia="宋体"/>
                      <w:color w:val="auto"/>
                      <w:highlight w:val="none"/>
                      <w:lang w:val="en-US" w:eastAsia="zh-CN"/>
                    </w:rPr>
                  </w:pPr>
                  <w:r>
                    <w:rPr>
                      <w:rFonts w:hint="eastAsia"/>
                      <w:color w:val="auto"/>
                      <w:highlight w:val="none"/>
                      <w:lang w:val="en-US" w:eastAsia="zh-CN"/>
                    </w:rPr>
                    <w:t>/</w:t>
                  </w:r>
                </w:p>
              </w:tc>
            </w:tr>
            <w:tr w14:paraId="320B7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restart"/>
                  <w:vAlign w:val="center"/>
                </w:tcPr>
                <w:p w14:paraId="581244BF">
                  <w:pPr>
                    <w:pStyle w:val="48"/>
                    <w:tabs>
                      <w:tab w:val="left" w:pos="0"/>
                    </w:tabs>
                    <w:bidi w:val="0"/>
                    <w:rPr>
                      <w:color w:val="auto"/>
                      <w:highlight w:val="none"/>
                    </w:rPr>
                  </w:pPr>
                  <w:r>
                    <w:rPr>
                      <w:color w:val="auto"/>
                      <w:highlight w:val="none"/>
                    </w:rPr>
                    <w:t>公用工程</w:t>
                  </w:r>
                </w:p>
              </w:tc>
              <w:tc>
                <w:tcPr>
                  <w:tcW w:w="932" w:type="pct"/>
                  <w:gridSpan w:val="2"/>
                  <w:shd w:val="clear" w:color="auto" w:fill="auto"/>
                  <w:vAlign w:val="center"/>
                </w:tcPr>
                <w:p w14:paraId="43CB3777">
                  <w:pPr>
                    <w:pStyle w:val="48"/>
                    <w:tabs>
                      <w:tab w:val="left" w:pos="0"/>
                    </w:tabs>
                    <w:bidi w:val="0"/>
                    <w:ind w:firstLine="0" w:firstLineChars="0"/>
                    <w:rPr>
                      <w:rFonts w:ascii="Times New Roman" w:hAnsi="Times New Roman" w:eastAsia="宋体" w:cs="Times New Roman"/>
                      <w:color w:val="auto"/>
                      <w:kern w:val="0"/>
                      <w:sz w:val="21"/>
                      <w:szCs w:val="24"/>
                      <w:highlight w:val="none"/>
                      <w:lang w:val="en-US" w:eastAsia="zh-CN" w:bidi="ar-SA"/>
                    </w:rPr>
                  </w:pPr>
                  <w:r>
                    <w:rPr>
                      <w:color w:val="auto"/>
                      <w:highlight w:val="none"/>
                    </w:rPr>
                    <w:t>给水</w:t>
                  </w:r>
                </w:p>
              </w:tc>
              <w:tc>
                <w:tcPr>
                  <w:tcW w:w="2357" w:type="pct"/>
                  <w:shd w:val="clear" w:color="auto" w:fill="auto"/>
                  <w:vAlign w:val="center"/>
                </w:tcPr>
                <w:p w14:paraId="43686F87">
                  <w:pPr>
                    <w:pStyle w:val="48"/>
                    <w:tabs>
                      <w:tab w:val="left" w:pos="0"/>
                    </w:tabs>
                    <w:bidi w:val="0"/>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64.9</w:t>
                  </w:r>
                  <w:r>
                    <w:rPr>
                      <w:color w:val="auto"/>
                      <w:highlight w:val="none"/>
                    </w:rPr>
                    <w:t>t/a</w:t>
                  </w:r>
                </w:p>
              </w:tc>
              <w:tc>
                <w:tcPr>
                  <w:tcW w:w="1198" w:type="pct"/>
                  <w:shd w:val="clear" w:color="auto" w:fill="auto"/>
                  <w:vAlign w:val="center"/>
                </w:tcPr>
                <w:p w14:paraId="456B40BC">
                  <w:pPr>
                    <w:pStyle w:val="48"/>
                    <w:tabs>
                      <w:tab w:val="left" w:pos="0"/>
                    </w:tabs>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依托</w:t>
                  </w:r>
                  <w:r>
                    <w:rPr>
                      <w:rFonts w:hint="eastAsia"/>
                      <w:color w:val="auto"/>
                      <w:highlight w:val="none"/>
                      <w:lang w:val="en-US" w:eastAsia="zh-CN"/>
                    </w:rPr>
                    <w:t>园区</w:t>
                  </w:r>
                  <w:r>
                    <w:rPr>
                      <w:rFonts w:hint="eastAsia"/>
                      <w:color w:val="auto"/>
                      <w:highlight w:val="none"/>
                    </w:rPr>
                    <w:t>给水管网</w:t>
                  </w:r>
                </w:p>
              </w:tc>
            </w:tr>
            <w:tr w14:paraId="2D043B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10" w:type="pct"/>
                  <w:vMerge w:val="continue"/>
                  <w:vAlign w:val="center"/>
                </w:tcPr>
                <w:p w14:paraId="62262827">
                  <w:pPr>
                    <w:pStyle w:val="48"/>
                    <w:tabs>
                      <w:tab w:val="left" w:pos="0"/>
                    </w:tabs>
                    <w:bidi w:val="0"/>
                    <w:rPr>
                      <w:color w:val="auto"/>
                      <w:highlight w:val="none"/>
                    </w:rPr>
                  </w:pPr>
                </w:p>
              </w:tc>
              <w:tc>
                <w:tcPr>
                  <w:tcW w:w="932" w:type="pct"/>
                  <w:gridSpan w:val="2"/>
                  <w:vAlign w:val="center"/>
                </w:tcPr>
                <w:p w14:paraId="337B0A32">
                  <w:pPr>
                    <w:pStyle w:val="48"/>
                    <w:tabs>
                      <w:tab w:val="left" w:pos="0"/>
                    </w:tabs>
                    <w:bidi w:val="0"/>
                    <w:rPr>
                      <w:color w:val="auto"/>
                      <w:highlight w:val="none"/>
                    </w:rPr>
                  </w:pPr>
                  <w:r>
                    <w:rPr>
                      <w:color w:val="auto"/>
                      <w:highlight w:val="none"/>
                    </w:rPr>
                    <w:t>排水</w:t>
                  </w:r>
                </w:p>
              </w:tc>
              <w:tc>
                <w:tcPr>
                  <w:tcW w:w="2357" w:type="pct"/>
                  <w:vAlign w:val="center"/>
                </w:tcPr>
                <w:p w14:paraId="035DCA2C">
                  <w:pPr>
                    <w:pStyle w:val="48"/>
                    <w:tabs>
                      <w:tab w:val="left" w:pos="0"/>
                    </w:tabs>
                    <w:bidi w:val="0"/>
                    <w:rPr>
                      <w:color w:val="auto"/>
                      <w:highlight w:val="none"/>
                    </w:rPr>
                  </w:pPr>
                  <w:r>
                    <w:rPr>
                      <w:rFonts w:hint="eastAsia"/>
                      <w:color w:val="auto"/>
                      <w:highlight w:val="none"/>
                      <w:lang w:val="en-US" w:eastAsia="zh-CN"/>
                    </w:rPr>
                    <w:t>50</w:t>
                  </w:r>
                  <w:r>
                    <w:rPr>
                      <w:color w:val="auto"/>
                      <w:highlight w:val="none"/>
                    </w:rPr>
                    <w:t>t/a</w:t>
                  </w:r>
                </w:p>
              </w:tc>
              <w:tc>
                <w:tcPr>
                  <w:tcW w:w="1198" w:type="pct"/>
                  <w:vAlign w:val="center"/>
                </w:tcPr>
                <w:p w14:paraId="6F84BCF2">
                  <w:pPr>
                    <w:pStyle w:val="48"/>
                    <w:tabs>
                      <w:tab w:val="left" w:pos="0"/>
                    </w:tabs>
                    <w:bidi w:val="0"/>
                    <w:rPr>
                      <w:rFonts w:hint="eastAsia" w:eastAsia="宋体"/>
                      <w:color w:val="auto"/>
                      <w:highlight w:val="none"/>
                      <w:lang w:val="en-US" w:eastAsia="zh-CN"/>
                    </w:rPr>
                  </w:pPr>
                  <w:r>
                    <w:rPr>
                      <w:rFonts w:hint="eastAsia"/>
                      <w:color w:val="auto"/>
                      <w:highlight w:val="none"/>
                    </w:rPr>
                    <w:t>依托</w:t>
                  </w:r>
                  <w:r>
                    <w:rPr>
                      <w:rFonts w:hint="eastAsia"/>
                      <w:color w:val="auto"/>
                      <w:highlight w:val="none"/>
                      <w:lang w:val="en-US" w:eastAsia="zh-CN"/>
                    </w:rPr>
                    <w:t>园区排</w:t>
                  </w:r>
                  <w:r>
                    <w:rPr>
                      <w:rFonts w:hint="eastAsia"/>
                      <w:color w:val="auto"/>
                      <w:highlight w:val="none"/>
                    </w:rPr>
                    <w:t>水管网</w:t>
                  </w:r>
                </w:p>
              </w:tc>
            </w:tr>
            <w:tr w14:paraId="3305AC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continue"/>
                  <w:vAlign w:val="center"/>
                </w:tcPr>
                <w:p w14:paraId="408F613B">
                  <w:pPr>
                    <w:pStyle w:val="48"/>
                    <w:tabs>
                      <w:tab w:val="left" w:pos="0"/>
                    </w:tabs>
                    <w:bidi w:val="0"/>
                    <w:rPr>
                      <w:color w:val="auto"/>
                      <w:highlight w:val="none"/>
                    </w:rPr>
                  </w:pPr>
                </w:p>
              </w:tc>
              <w:tc>
                <w:tcPr>
                  <w:tcW w:w="932" w:type="pct"/>
                  <w:gridSpan w:val="2"/>
                  <w:vAlign w:val="center"/>
                </w:tcPr>
                <w:p w14:paraId="008BDA91">
                  <w:pPr>
                    <w:pStyle w:val="48"/>
                    <w:tabs>
                      <w:tab w:val="left" w:pos="0"/>
                    </w:tabs>
                    <w:bidi w:val="0"/>
                    <w:rPr>
                      <w:color w:val="auto"/>
                      <w:highlight w:val="none"/>
                    </w:rPr>
                  </w:pPr>
                  <w:r>
                    <w:rPr>
                      <w:color w:val="auto"/>
                      <w:highlight w:val="none"/>
                    </w:rPr>
                    <w:t>供电</w:t>
                  </w:r>
                </w:p>
              </w:tc>
              <w:tc>
                <w:tcPr>
                  <w:tcW w:w="2357" w:type="pct"/>
                  <w:vAlign w:val="center"/>
                </w:tcPr>
                <w:p w14:paraId="2EA199CD">
                  <w:pPr>
                    <w:pStyle w:val="48"/>
                    <w:tabs>
                      <w:tab w:val="left" w:pos="0"/>
                    </w:tabs>
                    <w:bidi w:val="0"/>
                    <w:rPr>
                      <w:rFonts w:hint="eastAsia"/>
                      <w:color w:val="auto"/>
                      <w:highlight w:val="none"/>
                      <w:lang w:val="en-US" w:eastAsia="zh-CN"/>
                    </w:rPr>
                  </w:pPr>
                  <w:r>
                    <w:rPr>
                      <w:rFonts w:hint="eastAsia"/>
                      <w:color w:val="auto"/>
                      <w:highlight w:val="none"/>
                      <w:lang w:val="en-US" w:eastAsia="zh-CN"/>
                    </w:rPr>
                    <w:t>5</w:t>
                  </w:r>
                  <w:r>
                    <w:rPr>
                      <w:color w:val="auto"/>
                      <w:highlight w:val="none"/>
                    </w:rPr>
                    <w:t>万</w:t>
                  </w:r>
                  <w:r>
                    <w:rPr>
                      <w:rFonts w:hint="eastAsia"/>
                      <w:color w:val="auto"/>
                      <w:highlight w:val="none"/>
                      <w:lang w:val="en-US" w:eastAsia="zh-CN"/>
                    </w:rPr>
                    <w:t>kW</w:t>
                  </w:r>
                  <w:r>
                    <w:rPr>
                      <w:rFonts w:hint="default" w:ascii="Times New Roman" w:hAnsi="Times New Roman" w:cs="Times New Roman"/>
                      <w:color w:val="auto"/>
                      <w:highlight w:val="none"/>
                      <w:lang w:val="en-US" w:eastAsia="zh-CN"/>
                    </w:rPr>
                    <w:t>·</w:t>
                  </w:r>
                  <w:r>
                    <w:rPr>
                      <w:color w:val="auto"/>
                      <w:highlight w:val="none"/>
                    </w:rPr>
                    <w:t>h/a</w:t>
                  </w:r>
                </w:p>
              </w:tc>
              <w:tc>
                <w:tcPr>
                  <w:tcW w:w="1198" w:type="pct"/>
                  <w:vAlign w:val="center"/>
                </w:tcPr>
                <w:p w14:paraId="5DBF04DD">
                  <w:pPr>
                    <w:pStyle w:val="48"/>
                    <w:tabs>
                      <w:tab w:val="left" w:pos="0"/>
                    </w:tabs>
                    <w:bidi w:val="0"/>
                    <w:rPr>
                      <w:rFonts w:hint="eastAsia"/>
                      <w:color w:val="auto"/>
                      <w:highlight w:val="none"/>
                      <w:lang w:val="en-US" w:eastAsia="zh-CN"/>
                    </w:rPr>
                  </w:pPr>
                  <w:r>
                    <w:rPr>
                      <w:rFonts w:hint="eastAsia"/>
                      <w:color w:val="auto"/>
                      <w:highlight w:val="none"/>
                    </w:rPr>
                    <w:t>依托</w:t>
                  </w:r>
                  <w:r>
                    <w:rPr>
                      <w:rFonts w:hint="eastAsia"/>
                      <w:color w:val="auto"/>
                      <w:highlight w:val="none"/>
                      <w:lang w:val="en-US" w:eastAsia="zh-CN"/>
                    </w:rPr>
                    <w:t>园区</w:t>
                  </w:r>
                  <w:r>
                    <w:rPr>
                      <w:rFonts w:hint="eastAsia"/>
                      <w:color w:val="auto"/>
                      <w:highlight w:val="none"/>
                    </w:rPr>
                    <w:t>供电管网</w:t>
                  </w:r>
                </w:p>
              </w:tc>
            </w:tr>
            <w:tr w14:paraId="1F13EF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restart"/>
                  <w:vAlign w:val="center"/>
                </w:tcPr>
                <w:p w14:paraId="2EDFF4EF">
                  <w:pPr>
                    <w:pStyle w:val="48"/>
                    <w:tabs>
                      <w:tab w:val="left" w:pos="0"/>
                    </w:tabs>
                    <w:bidi w:val="0"/>
                    <w:rPr>
                      <w:color w:val="auto"/>
                      <w:highlight w:val="none"/>
                    </w:rPr>
                  </w:pPr>
                  <w:r>
                    <w:rPr>
                      <w:color w:val="auto"/>
                      <w:highlight w:val="none"/>
                    </w:rPr>
                    <w:t>环保工程</w:t>
                  </w:r>
                </w:p>
              </w:tc>
              <w:tc>
                <w:tcPr>
                  <w:tcW w:w="932" w:type="pct"/>
                  <w:gridSpan w:val="2"/>
                  <w:vMerge w:val="restart"/>
                  <w:vAlign w:val="center"/>
                </w:tcPr>
                <w:p w14:paraId="36619142">
                  <w:pPr>
                    <w:pStyle w:val="48"/>
                    <w:tabs>
                      <w:tab w:val="left" w:pos="0"/>
                    </w:tabs>
                    <w:bidi w:val="0"/>
                    <w:rPr>
                      <w:color w:val="auto"/>
                      <w:highlight w:val="none"/>
                    </w:rPr>
                  </w:pPr>
                  <w:r>
                    <w:rPr>
                      <w:color w:val="auto"/>
                      <w:highlight w:val="none"/>
                    </w:rPr>
                    <w:t>废水</w:t>
                  </w:r>
                </w:p>
              </w:tc>
              <w:tc>
                <w:tcPr>
                  <w:tcW w:w="2357" w:type="pct"/>
                  <w:vAlign w:val="center"/>
                </w:tcPr>
                <w:p w14:paraId="0DE5D514">
                  <w:pPr>
                    <w:pStyle w:val="48"/>
                    <w:tabs>
                      <w:tab w:val="left" w:pos="0"/>
                    </w:tabs>
                    <w:bidi w:val="0"/>
                    <w:rPr>
                      <w:color w:val="auto"/>
                      <w:highlight w:val="none"/>
                    </w:rPr>
                  </w:pPr>
                  <w:r>
                    <w:rPr>
                      <w:color w:val="auto"/>
                      <w:highlight w:val="none"/>
                    </w:rPr>
                    <w:t>规范化</w:t>
                  </w:r>
                  <w:r>
                    <w:rPr>
                      <w:rFonts w:hint="eastAsia"/>
                      <w:color w:val="auto"/>
                      <w:highlight w:val="none"/>
                    </w:rPr>
                    <w:t>排污</w:t>
                  </w:r>
                  <w:r>
                    <w:rPr>
                      <w:color w:val="auto"/>
                      <w:highlight w:val="none"/>
                    </w:rPr>
                    <w:t>口</w:t>
                  </w:r>
                  <w:r>
                    <w:rPr>
                      <w:rFonts w:hint="eastAsia"/>
                      <w:color w:val="auto"/>
                      <w:highlight w:val="none"/>
                    </w:rPr>
                    <w:t>，1个</w:t>
                  </w:r>
                </w:p>
              </w:tc>
              <w:tc>
                <w:tcPr>
                  <w:tcW w:w="1198" w:type="pct"/>
                  <w:vMerge w:val="restart"/>
                  <w:vAlign w:val="center"/>
                </w:tcPr>
                <w:p w14:paraId="2668415B">
                  <w:pPr>
                    <w:pStyle w:val="48"/>
                    <w:tabs>
                      <w:tab w:val="left" w:pos="0"/>
                    </w:tabs>
                    <w:bidi w:val="0"/>
                    <w:rPr>
                      <w:color w:val="auto"/>
                      <w:highlight w:val="none"/>
                    </w:rPr>
                  </w:pPr>
                  <w:r>
                    <w:rPr>
                      <w:rFonts w:hint="eastAsia"/>
                      <w:color w:val="auto"/>
                      <w:highlight w:val="none"/>
                    </w:rPr>
                    <w:t>依托</w:t>
                  </w:r>
                  <w:r>
                    <w:rPr>
                      <w:rFonts w:hint="eastAsia"/>
                      <w:color w:val="auto"/>
                      <w:highlight w:val="none"/>
                      <w:lang w:val="en-US" w:eastAsia="zh-CN"/>
                    </w:rPr>
                    <w:t>园区</w:t>
                  </w:r>
                  <w:r>
                    <w:rPr>
                      <w:rFonts w:hint="eastAsia"/>
                      <w:color w:val="auto"/>
                      <w:highlight w:val="none"/>
                    </w:rPr>
                    <w:t>现有设施</w:t>
                  </w:r>
                </w:p>
              </w:tc>
            </w:tr>
            <w:tr w14:paraId="71C33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continue"/>
                  <w:vAlign w:val="center"/>
                </w:tcPr>
                <w:p w14:paraId="1CD5762D">
                  <w:pPr>
                    <w:pStyle w:val="48"/>
                    <w:tabs>
                      <w:tab w:val="left" w:pos="0"/>
                    </w:tabs>
                    <w:bidi w:val="0"/>
                    <w:rPr>
                      <w:color w:val="auto"/>
                      <w:highlight w:val="none"/>
                    </w:rPr>
                  </w:pPr>
                </w:p>
              </w:tc>
              <w:tc>
                <w:tcPr>
                  <w:tcW w:w="932" w:type="pct"/>
                  <w:gridSpan w:val="2"/>
                  <w:vMerge w:val="continue"/>
                  <w:vAlign w:val="center"/>
                </w:tcPr>
                <w:p w14:paraId="78625C74">
                  <w:pPr>
                    <w:pStyle w:val="48"/>
                    <w:tabs>
                      <w:tab w:val="left" w:pos="0"/>
                    </w:tabs>
                    <w:bidi w:val="0"/>
                    <w:rPr>
                      <w:color w:val="auto"/>
                      <w:highlight w:val="none"/>
                    </w:rPr>
                  </w:pPr>
                </w:p>
              </w:tc>
              <w:tc>
                <w:tcPr>
                  <w:tcW w:w="2357" w:type="pct"/>
                  <w:vAlign w:val="center"/>
                </w:tcPr>
                <w:p w14:paraId="10608200">
                  <w:pPr>
                    <w:pStyle w:val="48"/>
                    <w:tabs>
                      <w:tab w:val="left" w:pos="0"/>
                    </w:tabs>
                    <w:bidi w:val="0"/>
                    <w:rPr>
                      <w:color w:val="auto"/>
                      <w:highlight w:val="none"/>
                    </w:rPr>
                  </w:pPr>
                  <w:r>
                    <w:rPr>
                      <w:rFonts w:hint="eastAsia"/>
                      <w:color w:val="auto"/>
                      <w:highlight w:val="none"/>
                    </w:rPr>
                    <w:t>化粪池</w:t>
                  </w:r>
                </w:p>
              </w:tc>
              <w:tc>
                <w:tcPr>
                  <w:tcW w:w="1198" w:type="pct"/>
                  <w:vMerge w:val="continue"/>
                  <w:vAlign w:val="center"/>
                </w:tcPr>
                <w:p w14:paraId="104F0C9E">
                  <w:pPr>
                    <w:pStyle w:val="48"/>
                    <w:tabs>
                      <w:tab w:val="left" w:pos="0"/>
                    </w:tabs>
                    <w:bidi w:val="0"/>
                    <w:rPr>
                      <w:color w:val="auto"/>
                      <w:highlight w:val="none"/>
                    </w:rPr>
                  </w:pPr>
                </w:p>
              </w:tc>
            </w:tr>
            <w:tr w14:paraId="4E782D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10" w:type="pct"/>
                  <w:vMerge w:val="continue"/>
                  <w:vAlign w:val="center"/>
                </w:tcPr>
                <w:p w14:paraId="659351EC">
                  <w:pPr>
                    <w:pStyle w:val="48"/>
                    <w:tabs>
                      <w:tab w:val="left" w:pos="0"/>
                    </w:tabs>
                    <w:bidi w:val="0"/>
                    <w:rPr>
                      <w:color w:val="auto"/>
                      <w:highlight w:val="none"/>
                    </w:rPr>
                  </w:pPr>
                </w:p>
              </w:tc>
              <w:tc>
                <w:tcPr>
                  <w:tcW w:w="932" w:type="pct"/>
                  <w:gridSpan w:val="2"/>
                  <w:vAlign w:val="center"/>
                </w:tcPr>
                <w:p w14:paraId="0C4960F8">
                  <w:pPr>
                    <w:pStyle w:val="48"/>
                    <w:tabs>
                      <w:tab w:val="left" w:pos="0"/>
                    </w:tabs>
                    <w:bidi w:val="0"/>
                    <w:rPr>
                      <w:color w:val="auto"/>
                      <w:highlight w:val="none"/>
                    </w:rPr>
                  </w:pPr>
                  <w:r>
                    <w:rPr>
                      <w:color w:val="auto"/>
                      <w:highlight w:val="none"/>
                    </w:rPr>
                    <w:t>噪声</w:t>
                  </w:r>
                </w:p>
              </w:tc>
              <w:tc>
                <w:tcPr>
                  <w:tcW w:w="2357" w:type="pct"/>
                  <w:vAlign w:val="center"/>
                </w:tcPr>
                <w:p w14:paraId="273FDF55">
                  <w:pPr>
                    <w:pStyle w:val="48"/>
                    <w:tabs>
                      <w:tab w:val="left" w:pos="0"/>
                    </w:tabs>
                    <w:bidi w:val="0"/>
                    <w:rPr>
                      <w:color w:val="auto"/>
                      <w:highlight w:val="none"/>
                    </w:rPr>
                  </w:pPr>
                  <w:r>
                    <w:rPr>
                      <w:color w:val="auto"/>
                      <w:highlight w:val="none"/>
                    </w:rPr>
                    <w:t>设备减振、厂房隔声</w:t>
                  </w:r>
                </w:p>
              </w:tc>
              <w:tc>
                <w:tcPr>
                  <w:tcW w:w="1198" w:type="pct"/>
                  <w:vAlign w:val="center"/>
                </w:tcPr>
                <w:p w14:paraId="77734A89">
                  <w:pPr>
                    <w:pStyle w:val="48"/>
                    <w:tabs>
                      <w:tab w:val="left" w:pos="0"/>
                    </w:tabs>
                    <w:bidi w:val="0"/>
                    <w:rPr>
                      <w:rFonts w:hint="eastAsia"/>
                      <w:color w:val="auto"/>
                      <w:highlight w:val="none"/>
                      <w:lang w:val="en-US" w:eastAsia="zh-CN"/>
                    </w:rPr>
                  </w:pPr>
                  <w:r>
                    <w:rPr>
                      <w:rFonts w:hint="eastAsia"/>
                      <w:color w:val="auto"/>
                      <w:highlight w:val="none"/>
                      <w:lang w:val="en-US" w:eastAsia="zh-CN"/>
                    </w:rPr>
                    <w:t>新建</w:t>
                  </w:r>
                </w:p>
              </w:tc>
            </w:tr>
            <w:tr w14:paraId="72E814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continue"/>
                  <w:vAlign w:val="center"/>
                </w:tcPr>
                <w:p w14:paraId="169DDCC1">
                  <w:pPr>
                    <w:pStyle w:val="48"/>
                    <w:tabs>
                      <w:tab w:val="left" w:pos="0"/>
                    </w:tabs>
                    <w:bidi w:val="0"/>
                    <w:rPr>
                      <w:color w:val="auto"/>
                      <w:highlight w:val="none"/>
                    </w:rPr>
                  </w:pPr>
                </w:p>
              </w:tc>
              <w:tc>
                <w:tcPr>
                  <w:tcW w:w="252" w:type="pct"/>
                  <w:vMerge w:val="restart"/>
                  <w:vAlign w:val="center"/>
                </w:tcPr>
                <w:p w14:paraId="6A17D839">
                  <w:pPr>
                    <w:pStyle w:val="48"/>
                    <w:tabs>
                      <w:tab w:val="left" w:pos="0"/>
                    </w:tabs>
                    <w:bidi w:val="0"/>
                    <w:rPr>
                      <w:color w:val="auto"/>
                      <w:highlight w:val="none"/>
                    </w:rPr>
                  </w:pPr>
                  <w:r>
                    <w:rPr>
                      <w:color w:val="auto"/>
                      <w:highlight w:val="none"/>
                    </w:rPr>
                    <w:t>固废</w:t>
                  </w:r>
                </w:p>
              </w:tc>
              <w:tc>
                <w:tcPr>
                  <w:tcW w:w="679" w:type="pct"/>
                  <w:vAlign w:val="center"/>
                </w:tcPr>
                <w:p w14:paraId="55816662">
                  <w:pPr>
                    <w:pStyle w:val="48"/>
                    <w:tabs>
                      <w:tab w:val="left" w:pos="0"/>
                    </w:tabs>
                    <w:bidi w:val="0"/>
                    <w:rPr>
                      <w:color w:val="auto"/>
                      <w:highlight w:val="none"/>
                    </w:rPr>
                  </w:pPr>
                  <w:r>
                    <w:rPr>
                      <w:rFonts w:hint="eastAsia"/>
                      <w:color w:val="auto"/>
                      <w:highlight w:val="none"/>
                      <w:lang w:eastAsia="zh-CN"/>
                    </w:rPr>
                    <w:t>一般固废暂存区</w:t>
                  </w:r>
                </w:p>
              </w:tc>
              <w:tc>
                <w:tcPr>
                  <w:tcW w:w="2357" w:type="pct"/>
                  <w:vAlign w:val="center"/>
                </w:tcPr>
                <w:p w14:paraId="5311048B">
                  <w:pPr>
                    <w:pStyle w:val="48"/>
                    <w:tabs>
                      <w:tab w:val="left" w:pos="0"/>
                    </w:tabs>
                    <w:bidi w:val="0"/>
                    <w:rPr>
                      <w:color w:val="auto"/>
                      <w:highlight w:val="none"/>
                    </w:rPr>
                  </w:pPr>
                  <w:r>
                    <w:rPr>
                      <w:rFonts w:hint="eastAsia"/>
                      <w:color w:val="auto"/>
                      <w:highlight w:val="none"/>
                      <w:lang w:val="en-US" w:eastAsia="zh-CN"/>
                    </w:rPr>
                    <w:t>位于车间北部，面积5</w:t>
                  </w:r>
                  <w:r>
                    <w:rPr>
                      <w:color w:val="auto"/>
                      <w:highlight w:val="none"/>
                    </w:rPr>
                    <w:t>m</w:t>
                  </w:r>
                  <w:r>
                    <w:rPr>
                      <w:color w:val="auto"/>
                      <w:highlight w:val="none"/>
                      <w:vertAlign w:val="superscript"/>
                    </w:rPr>
                    <w:t>2</w:t>
                  </w:r>
                </w:p>
              </w:tc>
              <w:tc>
                <w:tcPr>
                  <w:tcW w:w="1198" w:type="pct"/>
                  <w:vAlign w:val="center"/>
                </w:tcPr>
                <w:p w14:paraId="7A1F2B50">
                  <w:pPr>
                    <w:pStyle w:val="48"/>
                    <w:tabs>
                      <w:tab w:val="left" w:pos="0"/>
                    </w:tabs>
                    <w:bidi w:val="0"/>
                    <w:rPr>
                      <w:rFonts w:hint="default"/>
                      <w:color w:val="auto"/>
                      <w:highlight w:val="none"/>
                      <w:lang w:val="en-US" w:eastAsia="zh-CN"/>
                    </w:rPr>
                  </w:pPr>
                  <w:r>
                    <w:rPr>
                      <w:rFonts w:hint="eastAsia"/>
                      <w:color w:val="auto"/>
                      <w:highlight w:val="none"/>
                      <w:lang w:val="en-US" w:eastAsia="zh-CN"/>
                    </w:rPr>
                    <w:t>新建</w:t>
                  </w:r>
                </w:p>
              </w:tc>
            </w:tr>
            <w:tr w14:paraId="68017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510" w:type="pct"/>
                  <w:vMerge w:val="continue"/>
                  <w:vAlign w:val="center"/>
                </w:tcPr>
                <w:p w14:paraId="6DCF517B">
                  <w:pPr>
                    <w:pStyle w:val="48"/>
                    <w:tabs>
                      <w:tab w:val="left" w:pos="0"/>
                    </w:tabs>
                    <w:bidi w:val="0"/>
                    <w:rPr>
                      <w:color w:val="auto"/>
                      <w:highlight w:val="none"/>
                    </w:rPr>
                  </w:pPr>
                </w:p>
              </w:tc>
              <w:tc>
                <w:tcPr>
                  <w:tcW w:w="252" w:type="pct"/>
                  <w:vMerge w:val="continue"/>
                  <w:vAlign w:val="center"/>
                </w:tcPr>
                <w:p w14:paraId="1F796318">
                  <w:pPr>
                    <w:pStyle w:val="48"/>
                    <w:tabs>
                      <w:tab w:val="left" w:pos="0"/>
                    </w:tabs>
                    <w:bidi w:val="0"/>
                    <w:rPr>
                      <w:color w:val="auto"/>
                      <w:highlight w:val="none"/>
                    </w:rPr>
                  </w:pPr>
                </w:p>
              </w:tc>
              <w:tc>
                <w:tcPr>
                  <w:tcW w:w="679" w:type="pct"/>
                  <w:vAlign w:val="center"/>
                </w:tcPr>
                <w:p w14:paraId="484EC241">
                  <w:pPr>
                    <w:pStyle w:val="48"/>
                    <w:tabs>
                      <w:tab w:val="left" w:pos="0"/>
                    </w:tabs>
                    <w:bidi w:val="0"/>
                    <w:rPr>
                      <w:rFonts w:hint="default" w:eastAsia="宋体"/>
                      <w:color w:val="auto"/>
                      <w:highlight w:val="none"/>
                      <w:lang w:val="en-US" w:eastAsia="zh-CN"/>
                    </w:rPr>
                  </w:pPr>
                  <w:r>
                    <w:rPr>
                      <w:rFonts w:hint="eastAsia"/>
                      <w:color w:val="auto"/>
                      <w:highlight w:val="none"/>
                    </w:rPr>
                    <w:t>危</w:t>
                  </w:r>
                  <w:r>
                    <w:rPr>
                      <w:rFonts w:hint="eastAsia"/>
                      <w:color w:val="auto"/>
                      <w:highlight w:val="none"/>
                      <w:lang w:val="en-US" w:eastAsia="zh-CN"/>
                    </w:rPr>
                    <w:t>废贮存点</w:t>
                  </w:r>
                </w:p>
              </w:tc>
              <w:tc>
                <w:tcPr>
                  <w:tcW w:w="2357" w:type="pct"/>
                  <w:vAlign w:val="center"/>
                </w:tcPr>
                <w:p w14:paraId="258372EB">
                  <w:pPr>
                    <w:pStyle w:val="48"/>
                    <w:tabs>
                      <w:tab w:val="left" w:pos="0"/>
                    </w:tabs>
                    <w:bidi w:val="0"/>
                    <w:rPr>
                      <w:color w:val="auto"/>
                      <w:highlight w:val="none"/>
                    </w:rPr>
                  </w:pPr>
                  <w:r>
                    <w:rPr>
                      <w:rFonts w:hint="eastAsia"/>
                      <w:color w:val="auto"/>
                      <w:highlight w:val="none"/>
                      <w:lang w:val="en-US" w:eastAsia="zh-CN"/>
                    </w:rPr>
                    <w:t>位于测试区，面积0.5</w:t>
                  </w:r>
                  <w:r>
                    <w:rPr>
                      <w:color w:val="auto"/>
                      <w:highlight w:val="none"/>
                    </w:rPr>
                    <w:t>m</w:t>
                  </w:r>
                  <w:r>
                    <w:rPr>
                      <w:color w:val="auto"/>
                      <w:highlight w:val="none"/>
                      <w:vertAlign w:val="superscript"/>
                    </w:rPr>
                    <w:t>2</w:t>
                  </w:r>
                </w:p>
              </w:tc>
              <w:tc>
                <w:tcPr>
                  <w:tcW w:w="1198" w:type="pct"/>
                  <w:vAlign w:val="center"/>
                </w:tcPr>
                <w:p w14:paraId="2935A59F">
                  <w:pPr>
                    <w:pStyle w:val="48"/>
                    <w:tabs>
                      <w:tab w:val="left" w:pos="0"/>
                    </w:tabs>
                    <w:bidi w:val="0"/>
                    <w:rPr>
                      <w:rFonts w:hint="eastAsia"/>
                      <w:color w:val="auto"/>
                      <w:highlight w:val="none"/>
                      <w:lang w:val="en-US" w:eastAsia="zh-CN"/>
                    </w:rPr>
                  </w:pPr>
                  <w:r>
                    <w:rPr>
                      <w:rFonts w:hint="eastAsia"/>
                      <w:color w:val="auto"/>
                      <w:highlight w:val="none"/>
                      <w:lang w:val="en-US" w:eastAsia="zh-CN"/>
                    </w:rPr>
                    <w:t>新建</w:t>
                  </w:r>
                </w:p>
              </w:tc>
            </w:tr>
            <w:tr w14:paraId="158F8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10" w:type="pct"/>
                  <w:vMerge w:val="continue"/>
                  <w:vAlign w:val="center"/>
                </w:tcPr>
                <w:p w14:paraId="42EA6A14">
                  <w:pPr>
                    <w:pStyle w:val="48"/>
                    <w:tabs>
                      <w:tab w:val="left" w:pos="0"/>
                    </w:tabs>
                    <w:bidi w:val="0"/>
                    <w:rPr>
                      <w:color w:val="auto"/>
                      <w:highlight w:val="none"/>
                    </w:rPr>
                  </w:pPr>
                </w:p>
              </w:tc>
              <w:tc>
                <w:tcPr>
                  <w:tcW w:w="932" w:type="pct"/>
                  <w:gridSpan w:val="2"/>
                  <w:vAlign w:val="center"/>
                </w:tcPr>
                <w:p w14:paraId="696F5BB6">
                  <w:pPr>
                    <w:pStyle w:val="48"/>
                    <w:tabs>
                      <w:tab w:val="left" w:pos="0"/>
                    </w:tabs>
                    <w:bidi w:val="0"/>
                    <w:rPr>
                      <w:rFonts w:hint="default"/>
                      <w:color w:val="auto"/>
                      <w:highlight w:val="none"/>
                      <w:lang w:val="en-US"/>
                    </w:rPr>
                  </w:pPr>
                  <w:r>
                    <w:rPr>
                      <w:rFonts w:hint="eastAsia"/>
                      <w:color w:val="auto"/>
                      <w:highlight w:val="none"/>
                      <w:lang w:val="en-US" w:eastAsia="zh-CN"/>
                    </w:rPr>
                    <w:t>环境风险</w:t>
                  </w:r>
                </w:p>
              </w:tc>
              <w:tc>
                <w:tcPr>
                  <w:tcW w:w="2357" w:type="pct"/>
                  <w:vAlign w:val="center"/>
                </w:tcPr>
                <w:p w14:paraId="0D936339">
                  <w:pPr>
                    <w:pStyle w:val="48"/>
                    <w:keepNext w:val="0"/>
                    <w:keepLines w:val="0"/>
                    <w:pageBreakBefore w:val="0"/>
                    <w:tabs>
                      <w:tab w:val="left" w:pos="0"/>
                    </w:tabs>
                    <w:kinsoku/>
                    <w:wordWrap/>
                    <w:overflowPunct/>
                    <w:topLinePunct w:val="0"/>
                    <w:autoSpaceDE/>
                    <w:autoSpaceDN/>
                    <w:bidi w:val="0"/>
                    <w:adjustRightInd w:val="0"/>
                    <w:snapToGrid w:val="0"/>
                    <w:spacing w:line="240" w:lineRule="exact"/>
                    <w:ind w:firstLine="0" w:firstLineChars="0"/>
                    <w:textAlignment w:val="auto"/>
                    <w:rPr>
                      <w:rFonts w:hint="default" w:eastAsia="宋体"/>
                      <w:color w:val="auto"/>
                      <w:highlight w:val="none"/>
                      <w:lang w:val="en-US" w:eastAsia="zh-CN"/>
                    </w:rPr>
                  </w:pPr>
                  <w:bookmarkStart w:id="85" w:name="bkReivew3012251"/>
                  <w:r>
                    <w:rPr>
                      <w:rFonts w:hint="eastAsia"/>
                      <w:color w:val="auto"/>
                      <w:sz w:val="21"/>
                      <w:szCs w:val="21"/>
                      <w:highlight w:val="none"/>
                      <w:lang w:eastAsia="zh-CN"/>
                    </w:rPr>
                    <w:t>配备</w:t>
                  </w:r>
                  <w:bookmarkEnd w:id="85"/>
                  <w:r>
                    <w:rPr>
                      <w:color w:val="auto"/>
                      <w:sz w:val="21"/>
                      <w:szCs w:val="21"/>
                      <w:highlight w:val="none"/>
                    </w:rPr>
                    <w:t>一定的应急物资</w:t>
                  </w:r>
                  <w:r>
                    <w:rPr>
                      <w:rFonts w:hint="eastAsia"/>
                      <w:color w:val="auto"/>
                      <w:lang w:eastAsia="zh-CN"/>
                    </w:rPr>
                    <w:t>，如灭火器、</w:t>
                  </w:r>
                  <w:sdt>
                    <w:sdtPr>
                      <w:rPr>
                        <w:color w:val="auto"/>
                      </w:rPr>
                      <w:alias w:val="字词错误"/>
                      <w:tag w:val="reviewtag_auto"/>
                      <w:id w:val="2070005"/>
                    </w:sdtPr>
                    <w:sdtEndPr>
                      <w:rPr>
                        <w:color w:val="auto"/>
                      </w:rPr>
                    </w:sdtEndPr>
                    <w:sdtContent>
                      <w:bookmarkStart w:id="86" w:name="bkReivew2070005"/>
                      <w:r>
                        <w:rPr>
                          <w:rFonts w:hint="eastAsia"/>
                          <w:color w:val="auto"/>
                          <w:lang w:eastAsia="zh-CN"/>
                        </w:rPr>
                        <w:t>消防栓</w:t>
                      </w:r>
                      <w:bookmarkEnd w:id="86"/>
                    </w:sdtContent>
                  </w:sdt>
                  <w:r>
                    <w:rPr>
                      <w:rFonts w:hint="eastAsia"/>
                      <w:color w:val="auto"/>
                      <w:lang w:eastAsia="zh-CN"/>
                    </w:rPr>
                    <w:t>、防毒面具、</w:t>
                  </w:r>
                  <w:r>
                    <w:rPr>
                      <w:rFonts w:hint="eastAsia"/>
                      <w:color w:val="auto"/>
                      <w:highlight w:val="none"/>
                      <w:lang w:eastAsia="zh-CN"/>
                    </w:rPr>
                    <w:t>堵</w:t>
                  </w:r>
                  <w:r>
                    <w:rPr>
                      <w:rFonts w:hint="eastAsia"/>
                      <w:color w:val="auto"/>
                      <w:highlight w:val="none"/>
                      <w:lang w:val="en-US" w:eastAsia="zh-CN"/>
                    </w:rPr>
                    <w:t>水</w:t>
                  </w:r>
                  <w:r>
                    <w:rPr>
                      <w:rFonts w:hint="eastAsia"/>
                      <w:color w:val="auto"/>
                      <w:highlight w:val="none"/>
                      <w:lang w:eastAsia="zh-CN"/>
                    </w:rPr>
                    <w:t>气囊、应急水囊等。</w:t>
                  </w:r>
                </w:p>
              </w:tc>
              <w:tc>
                <w:tcPr>
                  <w:tcW w:w="1198" w:type="pct"/>
                  <w:vAlign w:val="center"/>
                </w:tcPr>
                <w:p w14:paraId="5F147FC3">
                  <w:pPr>
                    <w:pStyle w:val="48"/>
                    <w:tabs>
                      <w:tab w:val="left" w:pos="0"/>
                    </w:tabs>
                    <w:bidi w:val="0"/>
                    <w:jc w:val="center"/>
                    <w:rPr>
                      <w:color w:val="auto"/>
                      <w:highlight w:val="none"/>
                    </w:rPr>
                  </w:pPr>
                  <w:r>
                    <w:rPr>
                      <w:rFonts w:hint="eastAsia"/>
                      <w:color w:val="auto"/>
                      <w:highlight w:val="none"/>
                      <w:lang w:eastAsia="zh-CN"/>
                    </w:rPr>
                    <w:t>新建</w:t>
                  </w:r>
                </w:p>
              </w:tc>
            </w:tr>
          </w:tbl>
          <w:p w14:paraId="55D12755">
            <w:pPr>
              <w:ind w:firstLine="482"/>
              <w:rPr>
                <w:b/>
                <w:bCs/>
                <w:color w:val="auto"/>
                <w:highlight w:val="none"/>
              </w:rPr>
            </w:pPr>
            <w:r>
              <w:rPr>
                <w:rFonts w:hint="eastAsia"/>
                <w:b/>
                <w:bCs/>
                <w:color w:val="auto"/>
                <w:highlight w:val="none"/>
                <w:lang w:eastAsia="zh-CN"/>
              </w:rPr>
              <w:t>4.</w:t>
            </w:r>
            <w:r>
              <w:rPr>
                <w:b/>
                <w:bCs/>
                <w:color w:val="auto"/>
                <w:highlight w:val="none"/>
              </w:rPr>
              <w:t>原辅材料</w:t>
            </w:r>
          </w:p>
          <w:p w14:paraId="638B56C6">
            <w:pPr>
              <w:ind w:firstLine="480"/>
              <w:rPr>
                <w:rFonts w:hint="eastAsia"/>
                <w:color w:val="auto"/>
                <w:highlight w:val="none"/>
                <w:lang w:eastAsia="zh-CN"/>
              </w:rPr>
            </w:pPr>
            <w:r>
              <w:rPr>
                <w:rFonts w:hint="eastAsia"/>
                <w:color w:val="auto"/>
                <w:highlight w:val="none"/>
                <w:lang w:val="en-US" w:eastAsia="zh-CN"/>
              </w:rPr>
              <w:t>本项目</w:t>
            </w:r>
            <w:r>
              <w:rPr>
                <w:color w:val="auto"/>
                <w:highlight w:val="none"/>
              </w:rPr>
              <w:t>主要原辅料</w:t>
            </w:r>
            <w:r>
              <w:rPr>
                <w:rFonts w:hint="eastAsia"/>
                <w:color w:val="auto"/>
                <w:highlight w:val="none"/>
              </w:rPr>
              <w:t>见下表</w:t>
            </w:r>
            <w:r>
              <w:rPr>
                <w:rFonts w:hint="eastAsia"/>
                <w:color w:val="auto"/>
                <w:highlight w:val="none"/>
                <w:lang w:eastAsia="zh-CN"/>
              </w:rPr>
              <w:t>。</w:t>
            </w:r>
          </w:p>
          <w:p w14:paraId="58F42512">
            <w:pPr>
              <w:pStyle w:val="50"/>
              <w:tabs>
                <w:tab w:val="clear" w:pos="0"/>
              </w:tabs>
              <w:bidi w:val="0"/>
              <w:rPr>
                <w:b/>
                <w:bCs/>
                <w:color w:val="auto"/>
                <w:szCs w:val="21"/>
                <w:highlight w:val="none"/>
              </w:rPr>
            </w:pPr>
            <w:r>
              <w:rPr>
                <w:rFonts w:hint="eastAsia"/>
                <w:color w:val="auto"/>
                <w:highlight w:val="none"/>
                <w:lang w:val="en-US" w:eastAsia="zh-CN"/>
              </w:rPr>
              <w:t>本</w:t>
            </w:r>
            <w:r>
              <w:rPr>
                <w:color w:val="auto"/>
                <w:highlight w:val="none"/>
              </w:rPr>
              <w:t>项目主要原辅料消耗表</w:t>
            </w:r>
          </w:p>
          <w:tbl>
            <w:tblPr>
              <w:tblStyle w:val="33"/>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034"/>
              <w:gridCol w:w="1489"/>
              <w:gridCol w:w="601"/>
              <w:gridCol w:w="750"/>
              <w:gridCol w:w="1151"/>
              <w:gridCol w:w="957"/>
              <w:gridCol w:w="752"/>
              <w:gridCol w:w="660"/>
            </w:tblGrid>
            <w:tr w14:paraId="171559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06" w:type="pct"/>
                  <w:vAlign w:val="center"/>
                </w:tcPr>
                <w:p w14:paraId="6884AE29">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656" w:type="pct"/>
                  <w:tcMar>
                    <w:top w:w="0" w:type="dxa"/>
                    <w:left w:w="0" w:type="dxa"/>
                    <w:right w:w="0" w:type="dxa"/>
                  </w:tcMar>
                  <w:vAlign w:val="center"/>
                </w:tcPr>
                <w:p w14:paraId="26378ED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原料名称</w:t>
                  </w:r>
                </w:p>
              </w:tc>
              <w:tc>
                <w:tcPr>
                  <w:tcW w:w="945" w:type="pct"/>
                  <w:vAlign w:val="center"/>
                </w:tcPr>
                <w:p w14:paraId="709EEA4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成分</w:t>
                  </w:r>
                </w:p>
              </w:tc>
              <w:tc>
                <w:tcPr>
                  <w:tcW w:w="381" w:type="pct"/>
                  <w:vAlign w:val="center"/>
                </w:tcPr>
                <w:p w14:paraId="41437211">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形态</w:t>
                  </w:r>
                </w:p>
              </w:tc>
              <w:tc>
                <w:tcPr>
                  <w:tcW w:w="476" w:type="pct"/>
                  <w:vAlign w:val="center"/>
                </w:tcPr>
                <w:p w14:paraId="7A7D4820">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包装规格</w:t>
                  </w:r>
                </w:p>
              </w:tc>
              <w:tc>
                <w:tcPr>
                  <w:tcW w:w="730" w:type="pct"/>
                  <w:vAlign w:val="center"/>
                </w:tcPr>
                <w:p w14:paraId="39045EED">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使用量t</w:t>
                  </w:r>
                  <w:r>
                    <w:rPr>
                      <w:rFonts w:hint="default" w:ascii="Times New Roman" w:hAnsi="Times New Roman" w:eastAsia="宋体" w:cs="Times New Roman"/>
                      <w:b/>
                      <w:bCs/>
                      <w:color w:val="auto"/>
                      <w:sz w:val="21"/>
                      <w:szCs w:val="21"/>
                      <w:highlight w:val="none"/>
                      <w:lang w:val="en-US" w:eastAsia="zh-CN"/>
                    </w:rPr>
                    <w:t>/a</w:t>
                  </w:r>
                </w:p>
              </w:tc>
              <w:tc>
                <w:tcPr>
                  <w:tcW w:w="607" w:type="pct"/>
                  <w:vAlign w:val="center"/>
                </w:tcPr>
                <w:p w14:paraId="4E06905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最大储存量</w:t>
                  </w:r>
                  <w:r>
                    <w:rPr>
                      <w:rFonts w:hint="default" w:ascii="Times New Roman" w:hAnsi="Times New Roman" w:eastAsia="宋体" w:cs="Times New Roman"/>
                      <w:b/>
                      <w:bCs/>
                      <w:color w:val="auto"/>
                      <w:sz w:val="21"/>
                      <w:szCs w:val="21"/>
                      <w:highlight w:val="none"/>
                      <w:lang w:val="en-US" w:eastAsia="zh-CN"/>
                    </w:rPr>
                    <w:t>t</w:t>
                  </w:r>
                </w:p>
              </w:tc>
              <w:tc>
                <w:tcPr>
                  <w:tcW w:w="477" w:type="pct"/>
                  <w:vAlign w:val="center"/>
                </w:tcPr>
                <w:p w14:paraId="349FF8F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使用工序</w:t>
                  </w:r>
                </w:p>
              </w:tc>
              <w:tc>
                <w:tcPr>
                  <w:tcW w:w="419" w:type="pct"/>
                  <w:vAlign w:val="center"/>
                </w:tcPr>
                <w:p w14:paraId="1945991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贮存位置</w:t>
                  </w:r>
                </w:p>
              </w:tc>
            </w:tr>
            <w:tr w14:paraId="307577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290D558E">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rPr>
                  </w:pPr>
                </w:p>
              </w:tc>
              <w:tc>
                <w:tcPr>
                  <w:tcW w:w="656" w:type="pct"/>
                  <w:shd w:val="clear" w:color="auto" w:fill="auto"/>
                  <w:tcMar>
                    <w:top w:w="0" w:type="dxa"/>
                    <w:left w:w="0" w:type="dxa"/>
                    <w:right w:w="0" w:type="dxa"/>
                  </w:tcMar>
                  <w:vAlign w:val="center"/>
                </w:tcPr>
                <w:p w14:paraId="4BE8EA6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外壳</w:t>
                  </w:r>
                </w:p>
              </w:tc>
              <w:tc>
                <w:tcPr>
                  <w:tcW w:w="945" w:type="pct"/>
                  <w:shd w:val="clear" w:color="auto" w:fill="auto"/>
                  <w:vAlign w:val="center"/>
                </w:tcPr>
                <w:p w14:paraId="78637DD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ABS+PC</w:t>
                  </w:r>
                </w:p>
              </w:tc>
              <w:tc>
                <w:tcPr>
                  <w:tcW w:w="381" w:type="pct"/>
                  <w:vAlign w:val="center"/>
                </w:tcPr>
                <w:p w14:paraId="74B5FE51">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w:t>
                  </w:r>
                </w:p>
              </w:tc>
              <w:tc>
                <w:tcPr>
                  <w:tcW w:w="476" w:type="pct"/>
                  <w:vAlign w:val="center"/>
                </w:tcPr>
                <w:p w14:paraId="5413823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30" w:type="pct"/>
                  <w:shd w:val="clear" w:color="auto" w:fill="auto"/>
                  <w:vAlign w:val="center"/>
                </w:tcPr>
                <w:p w14:paraId="56197107">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12.5万个</w:t>
                  </w:r>
                </w:p>
              </w:tc>
              <w:tc>
                <w:tcPr>
                  <w:tcW w:w="607" w:type="pct"/>
                  <w:vAlign w:val="center"/>
                </w:tcPr>
                <w:p w14:paraId="483D491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10万个</w:t>
                  </w:r>
                </w:p>
              </w:tc>
              <w:tc>
                <w:tcPr>
                  <w:tcW w:w="477" w:type="pct"/>
                  <w:vMerge w:val="restart"/>
                  <w:vAlign w:val="center"/>
                </w:tcPr>
                <w:p w14:paraId="12CC11D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组装</w:t>
                  </w:r>
                </w:p>
              </w:tc>
              <w:tc>
                <w:tcPr>
                  <w:tcW w:w="419" w:type="pct"/>
                  <w:vMerge w:val="restart"/>
                  <w:vAlign w:val="center"/>
                </w:tcPr>
                <w:p w14:paraId="7D74933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原料仓库</w:t>
                  </w:r>
                </w:p>
              </w:tc>
            </w:tr>
            <w:tr w14:paraId="2A3F5C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4B7F8E11">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656" w:type="pct"/>
                  <w:shd w:val="clear" w:color="auto" w:fill="auto"/>
                  <w:tcMar>
                    <w:top w:w="0" w:type="dxa"/>
                    <w:left w:w="0" w:type="dxa"/>
                    <w:right w:w="0" w:type="dxa"/>
                  </w:tcMar>
                  <w:vAlign w:val="center"/>
                </w:tcPr>
                <w:p w14:paraId="7D709A1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电池组</w:t>
                  </w:r>
                </w:p>
              </w:tc>
              <w:tc>
                <w:tcPr>
                  <w:tcW w:w="945" w:type="pct"/>
                  <w:shd w:val="clear" w:color="auto" w:fill="auto"/>
                  <w:vAlign w:val="center"/>
                </w:tcPr>
                <w:p w14:paraId="7982164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锂离子</w:t>
                  </w:r>
                  <w:r>
                    <w:rPr>
                      <w:rFonts w:hint="eastAsia" w:cs="Times New Roman"/>
                      <w:color w:val="auto"/>
                      <w:kern w:val="2"/>
                      <w:sz w:val="21"/>
                      <w:szCs w:val="21"/>
                      <w:lang w:val="en-US" w:eastAsia="zh-CN" w:bidi="ar-SA"/>
                    </w:rPr>
                    <w:t>电芯</w:t>
                  </w:r>
                </w:p>
              </w:tc>
              <w:tc>
                <w:tcPr>
                  <w:tcW w:w="381" w:type="pct"/>
                  <w:vAlign w:val="center"/>
                </w:tcPr>
                <w:p w14:paraId="5905773A">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w:t>
                  </w:r>
                </w:p>
              </w:tc>
              <w:tc>
                <w:tcPr>
                  <w:tcW w:w="476" w:type="pct"/>
                  <w:vAlign w:val="center"/>
                </w:tcPr>
                <w:p w14:paraId="0595574C">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30" w:type="pct"/>
                  <w:shd w:val="clear" w:color="auto" w:fill="auto"/>
                  <w:vAlign w:val="center"/>
                </w:tcPr>
                <w:p w14:paraId="5E1B3033">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12.5万只</w:t>
                  </w:r>
                </w:p>
              </w:tc>
              <w:tc>
                <w:tcPr>
                  <w:tcW w:w="607" w:type="pct"/>
                  <w:vAlign w:val="center"/>
                </w:tcPr>
                <w:p w14:paraId="363F44CA">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1.5</w:t>
                  </w:r>
                  <w:r>
                    <w:rPr>
                      <w:rFonts w:hint="default" w:ascii="Times New Roman" w:hAnsi="Times New Roman" w:eastAsia="宋体" w:cs="Times New Roman"/>
                      <w:color w:val="auto"/>
                      <w:sz w:val="21"/>
                      <w:szCs w:val="21"/>
                      <w:lang w:val="en-US" w:eastAsia="zh-CN"/>
                    </w:rPr>
                    <w:t>万只</w:t>
                  </w:r>
                </w:p>
              </w:tc>
              <w:tc>
                <w:tcPr>
                  <w:tcW w:w="477" w:type="pct"/>
                  <w:vMerge w:val="continue"/>
                  <w:vAlign w:val="center"/>
                </w:tcPr>
                <w:p w14:paraId="42F219FD">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c>
                <w:tcPr>
                  <w:tcW w:w="419" w:type="pct"/>
                  <w:vMerge w:val="continue"/>
                  <w:vAlign w:val="center"/>
                </w:tcPr>
                <w:p w14:paraId="2EE38FD0">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r>
            <w:tr w14:paraId="696C8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18763D1F">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656" w:type="pct"/>
                  <w:shd w:val="clear" w:color="auto" w:fill="auto"/>
                  <w:tcMar>
                    <w:top w:w="0" w:type="dxa"/>
                    <w:left w:w="0" w:type="dxa"/>
                    <w:right w:w="0" w:type="dxa"/>
                  </w:tcMar>
                  <w:vAlign w:val="center"/>
                </w:tcPr>
                <w:p w14:paraId="2D7BE2B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塑料配件</w:t>
                  </w:r>
                </w:p>
              </w:tc>
              <w:tc>
                <w:tcPr>
                  <w:tcW w:w="945" w:type="pct"/>
                  <w:shd w:val="clear" w:color="auto" w:fill="auto"/>
                  <w:vAlign w:val="center"/>
                </w:tcPr>
                <w:p w14:paraId="1613880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ABS+PC</w:t>
                  </w:r>
                </w:p>
              </w:tc>
              <w:tc>
                <w:tcPr>
                  <w:tcW w:w="381" w:type="pct"/>
                  <w:vAlign w:val="center"/>
                </w:tcPr>
                <w:p w14:paraId="52AB62C8">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w:t>
                  </w:r>
                </w:p>
              </w:tc>
              <w:tc>
                <w:tcPr>
                  <w:tcW w:w="476" w:type="pct"/>
                  <w:vAlign w:val="center"/>
                </w:tcPr>
                <w:p w14:paraId="576659A5">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30" w:type="pct"/>
                  <w:shd w:val="clear" w:color="auto" w:fill="auto"/>
                  <w:vAlign w:val="center"/>
                </w:tcPr>
                <w:p w14:paraId="5D7F344F">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12.5万个</w:t>
                  </w:r>
                </w:p>
              </w:tc>
              <w:tc>
                <w:tcPr>
                  <w:tcW w:w="607" w:type="pct"/>
                  <w:vAlign w:val="center"/>
                </w:tcPr>
                <w:p w14:paraId="2B68CF82">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10万个</w:t>
                  </w:r>
                </w:p>
              </w:tc>
              <w:tc>
                <w:tcPr>
                  <w:tcW w:w="477" w:type="pct"/>
                  <w:vMerge w:val="continue"/>
                  <w:vAlign w:val="center"/>
                </w:tcPr>
                <w:p w14:paraId="245C861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c>
                <w:tcPr>
                  <w:tcW w:w="419" w:type="pct"/>
                  <w:vMerge w:val="continue"/>
                  <w:vAlign w:val="center"/>
                </w:tcPr>
                <w:p w14:paraId="396983FE">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r>
            <w:tr w14:paraId="59711D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680748D4">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656" w:type="pct"/>
                  <w:shd w:val="clear" w:color="auto" w:fill="auto"/>
                  <w:tcMar>
                    <w:top w:w="0" w:type="dxa"/>
                    <w:left w:w="0" w:type="dxa"/>
                    <w:right w:w="0" w:type="dxa"/>
                  </w:tcMar>
                  <w:vAlign w:val="center"/>
                </w:tcPr>
                <w:p w14:paraId="6F8AAC8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线材</w:t>
                  </w:r>
                </w:p>
              </w:tc>
              <w:tc>
                <w:tcPr>
                  <w:tcW w:w="945" w:type="pct"/>
                  <w:shd w:val="clear" w:color="auto" w:fill="auto"/>
                  <w:vAlign w:val="center"/>
                </w:tcPr>
                <w:p w14:paraId="31A3A3A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铜</w:t>
                  </w:r>
                </w:p>
              </w:tc>
              <w:tc>
                <w:tcPr>
                  <w:tcW w:w="381" w:type="pct"/>
                  <w:vAlign w:val="center"/>
                </w:tcPr>
                <w:p w14:paraId="7C649C43">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w:t>
                  </w:r>
                </w:p>
              </w:tc>
              <w:tc>
                <w:tcPr>
                  <w:tcW w:w="476" w:type="pct"/>
                  <w:vAlign w:val="center"/>
                </w:tcPr>
                <w:p w14:paraId="057C32B1">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30" w:type="pct"/>
                  <w:shd w:val="clear" w:color="auto" w:fill="auto"/>
                  <w:vAlign w:val="center"/>
                </w:tcPr>
                <w:p w14:paraId="00D30A77">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12.5万根</w:t>
                  </w:r>
                </w:p>
              </w:tc>
              <w:tc>
                <w:tcPr>
                  <w:tcW w:w="607" w:type="pct"/>
                  <w:vAlign w:val="center"/>
                </w:tcPr>
                <w:p w14:paraId="0416907B">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10万个</w:t>
                  </w:r>
                </w:p>
              </w:tc>
              <w:tc>
                <w:tcPr>
                  <w:tcW w:w="477" w:type="pct"/>
                  <w:vMerge w:val="continue"/>
                  <w:vAlign w:val="center"/>
                </w:tcPr>
                <w:p w14:paraId="0755E0A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c>
                <w:tcPr>
                  <w:tcW w:w="419" w:type="pct"/>
                  <w:vMerge w:val="continue"/>
                  <w:vAlign w:val="center"/>
                </w:tcPr>
                <w:p w14:paraId="2372CEF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r>
            <w:tr w14:paraId="564E0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3413596B">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656" w:type="pct"/>
                  <w:shd w:val="clear" w:color="auto" w:fill="auto"/>
                  <w:tcMar>
                    <w:top w:w="0" w:type="dxa"/>
                    <w:left w:w="0" w:type="dxa"/>
                    <w:right w:w="0" w:type="dxa"/>
                  </w:tcMar>
                  <w:vAlign w:val="center"/>
                </w:tcPr>
                <w:p w14:paraId="4AB65B7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电子元器件</w:t>
                  </w:r>
                </w:p>
              </w:tc>
              <w:tc>
                <w:tcPr>
                  <w:tcW w:w="945" w:type="pct"/>
                  <w:shd w:val="clear" w:color="auto" w:fill="auto"/>
                  <w:vAlign w:val="center"/>
                </w:tcPr>
                <w:p w14:paraId="293621D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芯片、晶体、PCB板</w:t>
                  </w:r>
                </w:p>
              </w:tc>
              <w:tc>
                <w:tcPr>
                  <w:tcW w:w="381" w:type="pct"/>
                  <w:vAlign w:val="center"/>
                </w:tcPr>
                <w:p w14:paraId="660B9434">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w:t>
                  </w:r>
                </w:p>
              </w:tc>
              <w:tc>
                <w:tcPr>
                  <w:tcW w:w="476" w:type="pct"/>
                  <w:vAlign w:val="center"/>
                </w:tcPr>
                <w:p w14:paraId="1E1DC4DC">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30" w:type="pct"/>
                  <w:shd w:val="clear" w:color="auto" w:fill="auto"/>
                  <w:vAlign w:val="center"/>
                </w:tcPr>
                <w:p w14:paraId="1AAE2A1D">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50万颗</w:t>
                  </w:r>
                </w:p>
              </w:tc>
              <w:tc>
                <w:tcPr>
                  <w:tcW w:w="607" w:type="pct"/>
                  <w:vAlign w:val="center"/>
                </w:tcPr>
                <w:p w14:paraId="55FED8CD">
                  <w:pPr>
                    <w:keepNext w:val="0"/>
                    <w:keepLines w:val="0"/>
                    <w:pageBreakBefore w:val="0"/>
                    <w:kinsoku/>
                    <w:wordWrap/>
                    <w:overflowPunct/>
                    <w:topLinePunct w:val="0"/>
                    <w:autoSpaceDE/>
                    <w:autoSpaceDN/>
                    <w:bidi w:val="0"/>
                    <w:adjustRightInd/>
                    <w:snapToGrid/>
                    <w:spacing w:line="240" w:lineRule="exact"/>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25万颗</w:t>
                  </w:r>
                </w:p>
              </w:tc>
              <w:tc>
                <w:tcPr>
                  <w:tcW w:w="477" w:type="pct"/>
                  <w:vMerge w:val="continue"/>
                  <w:vAlign w:val="center"/>
                </w:tcPr>
                <w:p w14:paraId="38E7C04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c>
                <w:tcPr>
                  <w:tcW w:w="419" w:type="pct"/>
                  <w:vMerge w:val="continue"/>
                  <w:vAlign w:val="center"/>
                </w:tcPr>
                <w:p w14:paraId="2048B97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r>
            <w:tr w14:paraId="2470EE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5D7E193C">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56" w:type="pct"/>
                  <w:tcMar>
                    <w:top w:w="0" w:type="dxa"/>
                    <w:left w:w="0" w:type="dxa"/>
                    <w:right w:w="0" w:type="dxa"/>
                  </w:tcMar>
                  <w:vAlign w:val="center"/>
                </w:tcPr>
                <w:p w14:paraId="3CEDA79D">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外来</w:t>
                  </w:r>
                  <w:r>
                    <w:rPr>
                      <w:rFonts w:hint="eastAsia" w:cs="Times New Roman"/>
                      <w:color w:val="auto"/>
                      <w:sz w:val="21"/>
                      <w:szCs w:val="21"/>
                      <w:highlight w:val="none"/>
                      <w:lang w:val="en-US" w:eastAsia="zh-CN"/>
                    </w:rPr>
                    <w:t>移动电源</w:t>
                  </w:r>
                </w:p>
              </w:tc>
              <w:tc>
                <w:tcPr>
                  <w:tcW w:w="945" w:type="pct"/>
                  <w:vAlign w:val="center"/>
                </w:tcPr>
                <w:p w14:paraId="339FC09A">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lang w:val="en-US" w:eastAsia="zh-CN" w:bidi="ar-SA"/>
                    </w:rPr>
                    <w:t>锂离子</w:t>
                  </w:r>
                  <w:r>
                    <w:rPr>
                      <w:rFonts w:hint="eastAsia" w:cs="Times New Roman"/>
                      <w:color w:val="auto"/>
                      <w:kern w:val="2"/>
                      <w:sz w:val="21"/>
                      <w:szCs w:val="21"/>
                      <w:lang w:val="en-US" w:eastAsia="zh-CN" w:bidi="ar-SA"/>
                    </w:rPr>
                    <w:t>电芯</w:t>
                  </w:r>
                </w:p>
              </w:tc>
              <w:tc>
                <w:tcPr>
                  <w:tcW w:w="381" w:type="pct"/>
                  <w:vAlign w:val="center"/>
                </w:tcPr>
                <w:p w14:paraId="071F5ED1">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w:t>
                  </w:r>
                </w:p>
              </w:tc>
              <w:tc>
                <w:tcPr>
                  <w:tcW w:w="476" w:type="pct"/>
                  <w:vAlign w:val="center"/>
                </w:tcPr>
                <w:p w14:paraId="27911884">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730" w:type="pct"/>
                  <w:vAlign w:val="center"/>
                </w:tcPr>
                <w:p w14:paraId="3661F3C1">
                  <w:pPr>
                    <w:keepNext w:val="0"/>
                    <w:keepLines w:val="0"/>
                    <w:pageBreakBefore w:val="0"/>
                    <w:widowControl/>
                    <w:suppressLineNumbers w:val="0"/>
                    <w:kinsoku/>
                    <w:wordWrap/>
                    <w:overflowPunct/>
                    <w:topLinePunct w:val="0"/>
                    <w:autoSpaceDE/>
                    <w:autoSpaceDN/>
                    <w:bidi w:val="0"/>
                    <w:adjustRightInd/>
                    <w:snapToGrid/>
                    <w:spacing w:line="240" w:lineRule="exact"/>
                    <w:ind w:lef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4800只</w:t>
                  </w:r>
                </w:p>
              </w:tc>
              <w:tc>
                <w:tcPr>
                  <w:tcW w:w="607" w:type="pct"/>
                  <w:vAlign w:val="center"/>
                </w:tcPr>
                <w:p w14:paraId="04B12667">
                  <w:pPr>
                    <w:keepNext w:val="0"/>
                    <w:keepLines w:val="0"/>
                    <w:pageBreakBefore w:val="0"/>
                    <w:widowControl/>
                    <w:suppressLineNumbers w:val="0"/>
                    <w:kinsoku/>
                    <w:wordWrap/>
                    <w:overflowPunct/>
                    <w:topLinePunct w:val="0"/>
                    <w:autoSpaceDE/>
                    <w:autoSpaceDN/>
                    <w:bidi w:val="0"/>
                    <w:adjustRightInd/>
                    <w:snapToGrid/>
                    <w:spacing w:line="240" w:lineRule="exact"/>
                    <w:ind w:lef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1200只</w:t>
                  </w:r>
                </w:p>
              </w:tc>
              <w:tc>
                <w:tcPr>
                  <w:tcW w:w="477" w:type="pct"/>
                  <w:vAlign w:val="center"/>
                </w:tcPr>
                <w:p w14:paraId="6120D8E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测试</w:t>
                  </w:r>
                </w:p>
              </w:tc>
              <w:tc>
                <w:tcPr>
                  <w:tcW w:w="419" w:type="pct"/>
                  <w:vMerge w:val="continue"/>
                  <w:vAlign w:val="center"/>
                </w:tcPr>
                <w:p w14:paraId="21B26DE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p>
              </w:tc>
            </w:tr>
            <w:tr w14:paraId="4BD7DB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Align w:val="center"/>
                </w:tcPr>
                <w:p w14:paraId="11589466">
                  <w:pPr>
                    <w:pStyle w:val="48"/>
                    <w:keepNext w:val="0"/>
                    <w:keepLines w:val="0"/>
                    <w:pageBreakBefore w:val="0"/>
                    <w:widowControl w:val="0"/>
                    <w:numPr>
                      <w:ilvl w:val="0"/>
                      <w:numId w:val="16"/>
                    </w:numPr>
                    <w:tabs>
                      <w:tab w:val="left" w:pos="0"/>
                    </w:tabs>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56" w:type="pct"/>
                  <w:tcMar>
                    <w:top w:w="0" w:type="dxa"/>
                    <w:left w:w="0" w:type="dxa"/>
                    <w:right w:w="0" w:type="dxa"/>
                  </w:tcMar>
                  <w:vAlign w:val="center"/>
                </w:tcPr>
                <w:p w14:paraId="554BAFA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丙烷</w:t>
                  </w:r>
                </w:p>
              </w:tc>
              <w:tc>
                <w:tcPr>
                  <w:tcW w:w="945" w:type="pct"/>
                  <w:vAlign w:val="center"/>
                </w:tcPr>
                <w:p w14:paraId="06E6AA6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eastAsia"/>
                      <w:color w:val="auto"/>
                      <w:highlight w:val="none"/>
                    </w:rPr>
                  </w:pPr>
                  <w:r>
                    <w:rPr>
                      <w:rFonts w:hint="eastAsia"/>
                      <w:color w:val="auto"/>
                      <w:highlight w:val="none"/>
                    </w:rPr>
                    <w:t>纯度≥99.5%</w:t>
                  </w:r>
                </w:p>
              </w:tc>
              <w:tc>
                <w:tcPr>
                  <w:tcW w:w="381" w:type="pct"/>
                  <w:vAlign w:val="center"/>
                </w:tcPr>
                <w:p w14:paraId="6A75338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气</w:t>
                  </w:r>
                </w:p>
              </w:tc>
              <w:tc>
                <w:tcPr>
                  <w:tcW w:w="476" w:type="pct"/>
                  <w:vAlign w:val="center"/>
                </w:tcPr>
                <w:p w14:paraId="16458613">
                  <w:pPr>
                    <w:keepNext w:val="0"/>
                    <w:keepLines w:val="0"/>
                    <w:pageBreakBefore w:val="0"/>
                    <w:widowControl w:val="0"/>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40L/瓶</w:t>
                  </w:r>
                </w:p>
              </w:tc>
              <w:tc>
                <w:tcPr>
                  <w:tcW w:w="730" w:type="pct"/>
                  <w:vAlign w:val="center"/>
                </w:tcPr>
                <w:p w14:paraId="2B9A053F">
                  <w:pPr>
                    <w:keepNext w:val="0"/>
                    <w:keepLines w:val="0"/>
                    <w:pageBreakBefore w:val="0"/>
                    <w:widowControl/>
                    <w:suppressLineNumbers w:val="0"/>
                    <w:kinsoku/>
                    <w:wordWrap/>
                    <w:overflowPunct/>
                    <w:topLinePunct w:val="0"/>
                    <w:autoSpaceDE/>
                    <w:autoSpaceDN/>
                    <w:bidi w:val="0"/>
                    <w:adjustRightInd/>
                    <w:snapToGrid/>
                    <w:spacing w:line="240" w:lineRule="exact"/>
                    <w:ind w:lef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200L</w:t>
                  </w:r>
                </w:p>
              </w:tc>
              <w:tc>
                <w:tcPr>
                  <w:tcW w:w="607" w:type="pct"/>
                  <w:vAlign w:val="center"/>
                </w:tcPr>
                <w:p w14:paraId="4B7A40C9">
                  <w:pPr>
                    <w:keepNext w:val="0"/>
                    <w:keepLines w:val="0"/>
                    <w:pageBreakBefore w:val="0"/>
                    <w:widowControl/>
                    <w:suppressLineNumbers w:val="0"/>
                    <w:kinsoku/>
                    <w:wordWrap/>
                    <w:overflowPunct/>
                    <w:topLinePunct w:val="0"/>
                    <w:autoSpaceDE/>
                    <w:autoSpaceDN/>
                    <w:bidi w:val="0"/>
                    <w:adjustRightInd/>
                    <w:snapToGrid/>
                    <w:spacing w:line="240" w:lineRule="exact"/>
                    <w:ind w:lef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80L</w:t>
                  </w:r>
                </w:p>
              </w:tc>
              <w:tc>
                <w:tcPr>
                  <w:tcW w:w="477" w:type="pct"/>
                  <w:vAlign w:val="center"/>
                </w:tcPr>
                <w:p w14:paraId="3A5D593E">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测试</w:t>
                  </w:r>
                </w:p>
              </w:tc>
              <w:tc>
                <w:tcPr>
                  <w:tcW w:w="419" w:type="pct"/>
                  <w:vAlign w:val="center"/>
                </w:tcPr>
                <w:p w14:paraId="0E7ABFC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车间防爆柜</w:t>
                  </w:r>
                </w:p>
              </w:tc>
            </w:tr>
          </w:tbl>
          <w:p w14:paraId="6E133B59">
            <w:pPr>
              <w:pStyle w:val="50"/>
              <w:tabs>
                <w:tab w:val="clear" w:pos="0"/>
              </w:tabs>
              <w:bidi w:val="0"/>
              <w:rPr>
                <w:color w:val="auto"/>
                <w:highlight w:val="none"/>
              </w:rPr>
            </w:pPr>
            <w:r>
              <w:rPr>
                <w:rFonts w:hint="eastAsia"/>
                <w:color w:val="auto"/>
                <w:highlight w:val="none"/>
              </w:rPr>
              <w:t>主要</w:t>
            </w:r>
            <w:r>
              <w:rPr>
                <w:color w:val="auto"/>
                <w:highlight w:val="none"/>
              </w:rPr>
              <w:t>原辅料理化性质一览表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40"/>
              <w:gridCol w:w="4710"/>
              <w:gridCol w:w="939"/>
              <w:gridCol w:w="825"/>
            </w:tblGrid>
            <w:tr w14:paraId="3BE217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422" w:type="pct"/>
                  <w:vAlign w:val="center"/>
                </w:tcPr>
                <w:p w14:paraId="6EB8193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jc w:val="center"/>
                    <w:textAlignment w:val="auto"/>
                    <w:rPr>
                      <w:b/>
                      <w:bCs/>
                      <w:color w:val="auto"/>
                      <w:sz w:val="21"/>
                      <w:szCs w:val="21"/>
                      <w:highlight w:val="none"/>
                    </w:rPr>
                  </w:pPr>
                  <w:r>
                    <w:rPr>
                      <w:b/>
                      <w:bCs/>
                      <w:color w:val="auto"/>
                      <w:sz w:val="21"/>
                      <w:szCs w:val="21"/>
                      <w:highlight w:val="none"/>
                    </w:rPr>
                    <w:t>名称</w:t>
                  </w:r>
                </w:p>
              </w:tc>
              <w:tc>
                <w:tcPr>
                  <w:tcW w:w="469" w:type="pct"/>
                  <w:vAlign w:val="center"/>
                </w:tcPr>
                <w:p w14:paraId="11CB134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jc w:val="center"/>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CAS号</w:t>
                  </w:r>
                </w:p>
              </w:tc>
              <w:tc>
                <w:tcPr>
                  <w:tcW w:w="2988" w:type="pct"/>
                  <w:vAlign w:val="center"/>
                </w:tcPr>
                <w:p w14:paraId="22CBA57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jc w:val="center"/>
                    <w:textAlignment w:val="auto"/>
                    <w:rPr>
                      <w:b/>
                      <w:bCs/>
                      <w:color w:val="auto"/>
                      <w:sz w:val="21"/>
                      <w:szCs w:val="21"/>
                      <w:highlight w:val="none"/>
                    </w:rPr>
                  </w:pPr>
                  <w:r>
                    <w:rPr>
                      <w:b/>
                      <w:bCs/>
                      <w:color w:val="auto"/>
                      <w:sz w:val="21"/>
                      <w:szCs w:val="21"/>
                      <w:highlight w:val="none"/>
                    </w:rPr>
                    <w:t>理化性质</w:t>
                  </w:r>
                </w:p>
              </w:tc>
              <w:tc>
                <w:tcPr>
                  <w:tcW w:w="595" w:type="pct"/>
                  <w:vAlign w:val="center"/>
                </w:tcPr>
                <w:p w14:paraId="53861984">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jc w:val="center"/>
                    <w:textAlignment w:val="auto"/>
                    <w:rPr>
                      <w:b/>
                      <w:bCs/>
                      <w:color w:val="auto"/>
                      <w:sz w:val="21"/>
                      <w:szCs w:val="21"/>
                      <w:highlight w:val="none"/>
                    </w:rPr>
                  </w:pPr>
                  <w:r>
                    <w:rPr>
                      <w:b/>
                      <w:bCs/>
                      <w:color w:val="auto"/>
                      <w:sz w:val="21"/>
                      <w:szCs w:val="21"/>
                      <w:highlight w:val="none"/>
                    </w:rPr>
                    <w:t>燃烧爆炸性</w:t>
                  </w:r>
                </w:p>
              </w:tc>
              <w:tc>
                <w:tcPr>
                  <w:tcW w:w="523" w:type="pct"/>
                  <w:vAlign w:val="center"/>
                </w:tcPr>
                <w:p w14:paraId="0075962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jc w:val="center"/>
                    <w:textAlignment w:val="auto"/>
                    <w:rPr>
                      <w:b/>
                      <w:bCs/>
                      <w:color w:val="auto"/>
                      <w:sz w:val="21"/>
                      <w:szCs w:val="21"/>
                      <w:highlight w:val="none"/>
                    </w:rPr>
                  </w:pPr>
                  <w:r>
                    <w:rPr>
                      <w:b/>
                      <w:bCs/>
                      <w:color w:val="auto"/>
                      <w:sz w:val="21"/>
                      <w:szCs w:val="21"/>
                      <w:highlight w:val="none"/>
                    </w:rPr>
                    <w:t>毒性</w:t>
                  </w:r>
                </w:p>
              </w:tc>
            </w:tr>
            <w:tr w14:paraId="3F21B0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22" w:type="pct"/>
                  <w:shd w:val="clear" w:color="auto" w:fill="auto"/>
                  <w:vAlign w:val="center"/>
                </w:tcPr>
                <w:p w14:paraId="25CB15F0">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highlight w:val="none"/>
                      <w:lang w:val="en-US" w:eastAsia="zh-CN"/>
                    </w:rPr>
                    <w:t>ABS</w:t>
                  </w:r>
                </w:p>
              </w:tc>
              <w:tc>
                <w:tcPr>
                  <w:tcW w:w="469" w:type="pct"/>
                  <w:vAlign w:val="center"/>
                </w:tcPr>
                <w:p w14:paraId="3A789CCF">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2988" w:type="pct"/>
                  <w:vAlign w:val="center"/>
                </w:tcPr>
                <w:p w14:paraId="43ACB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丙烯腈-丁二烯-苯乙烯共聚物，通常为浅黄色或乳白色的粒料非结晶性树脂。熔融温度</w:t>
                  </w:r>
                  <w:bookmarkStart w:id="87" w:name="bkReivew2173551"/>
                  <w:r>
                    <w:rPr>
                      <w:rFonts w:hint="eastAsia" w:cs="Times New Roman"/>
                      <w:color w:val="auto"/>
                      <w:sz w:val="21"/>
                      <w:szCs w:val="21"/>
                      <w:highlight w:val="none"/>
                      <w:lang w:val="en-US" w:eastAsia="zh-CN"/>
                    </w:rPr>
                    <w:t>在217</w:t>
                  </w:r>
                  <w:bookmarkEnd w:id="87"/>
                  <w:r>
                    <w:rPr>
                      <w:rFonts w:hint="default" w:ascii="Times New Roman" w:hAnsi="Times New Roman" w:eastAsia="宋体" w:cs="Times New Roman"/>
                      <w:color w:val="auto"/>
                      <w:sz w:val="21"/>
                      <w:szCs w:val="21"/>
                      <w:highlight w:val="none"/>
                      <w:lang w:val="en-US" w:eastAsia="zh-CN"/>
                    </w:rPr>
                    <w:t>~237</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，热分解温度在270</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以上。具有抗冲击性、耐热性、耐低温性、耐化学药品性及电气性能优良，还具有易加工、制品尺寸稳定、表面光泽性好等特点。</w:t>
                  </w:r>
                </w:p>
              </w:tc>
              <w:tc>
                <w:tcPr>
                  <w:tcW w:w="595" w:type="pct"/>
                  <w:vAlign w:val="center"/>
                </w:tcPr>
                <w:p w14:paraId="776774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易燃</w:t>
                  </w:r>
                </w:p>
              </w:tc>
              <w:tc>
                <w:tcPr>
                  <w:tcW w:w="523" w:type="pct"/>
                  <w:vAlign w:val="center"/>
                </w:tcPr>
                <w:p w14:paraId="1A121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无资料</w:t>
                  </w:r>
                </w:p>
              </w:tc>
            </w:tr>
            <w:tr w14:paraId="11DB0B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22" w:type="pct"/>
                  <w:shd w:val="clear" w:color="auto" w:fill="auto"/>
                  <w:vAlign w:val="center"/>
                </w:tcPr>
                <w:p w14:paraId="72BBF8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PC</w:t>
                  </w:r>
                </w:p>
              </w:tc>
              <w:tc>
                <w:tcPr>
                  <w:tcW w:w="469" w:type="pct"/>
                  <w:vAlign w:val="center"/>
                </w:tcPr>
                <w:p w14:paraId="7F3713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25037-45-0</w:t>
                  </w:r>
                </w:p>
              </w:tc>
              <w:tc>
                <w:tcPr>
                  <w:tcW w:w="2988" w:type="pct"/>
                  <w:vAlign w:val="center"/>
                </w:tcPr>
                <w:p w14:paraId="5B797C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聚碳酸酯，闪点：167.2℃，可用温度：-40℃-135℃，热变形温度：135℃，熔点：220-230℃，沸点：450.6℃，不溶于水，密度：1.2g/cm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对稀酸、稀碱以及多数中性盐溶液具有良好的耐化学腐蚀性。在220–230℃以上开始发生热分解，释放出CO₂和酚类产物。聚碳酸酯属于可燃高分子材料，燃烧时会释放CO、CO₂及酚类等气体，但其阻燃性优于许多通用塑料（如聚乙烯、聚丙烯）</w:t>
                  </w:r>
                </w:p>
              </w:tc>
              <w:tc>
                <w:tcPr>
                  <w:tcW w:w="595" w:type="pct"/>
                  <w:vAlign w:val="center"/>
                </w:tcPr>
                <w:p w14:paraId="2F8FDB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可燃但具自熄性‌材料</w:t>
                  </w:r>
                </w:p>
              </w:tc>
              <w:tc>
                <w:tcPr>
                  <w:tcW w:w="523" w:type="pct"/>
                  <w:vAlign w:val="center"/>
                </w:tcPr>
                <w:p w14:paraId="28350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LD</w:t>
                  </w:r>
                  <w:r>
                    <w:rPr>
                      <w:rFonts w:hint="eastAsia" w:cs="Times New Roman"/>
                      <w:color w:val="auto"/>
                      <w:sz w:val="21"/>
                      <w:szCs w:val="21"/>
                      <w:highlight w:val="none"/>
                      <w:vertAlign w:val="subscript"/>
                      <w:lang w:val="en-US" w:eastAsia="zh-CN"/>
                    </w:rPr>
                    <w:t>50</w:t>
                  </w:r>
                  <w:r>
                    <w:rPr>
                      <w:rFonts w:hint="eastAsia" w:cs="Times New Roman"/>
                      <w:color w:val="auto"/>
                      <w:sz w:val="21"/>
                      <w:szCs w:val="21"/>
                      <w:highlight w:val="none"/>
                      <w:lang w:val="en-US" w:eastAsia="zh-CN"/>
                    </w:rPr>
                    <w:t>：2500-5000mg/kg（大鼠经口）</w:t>
                  </w:r>
                </w:p>
              </w:tc>
            </w:tr>
            <w:tr w14:paraId="344CB3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2" w:type="pct"/>
                  <w:shd w:val="clear" w:color="auto" w:fill="auto"/>
                  <w:vAlign w:val="center"/>
                </w:tcPr>
                <w:p w14:paraId="0239A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丙烷</w:t>
                  </w:r>
                </w:p>
              </w:tc>
              <w:tc>
                <w:tcPr>
                  <w:tcW w:w="469" w:type="pct"/>
                  <w:vAlign w:val="center"/>
                </w:tcPr>
                <w:p w14:paraId="1CE2C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fldChar w:fldCharType="begin"/>
                  </w:r>
                  <w:r>
                    <w:rPr>
                      <w:rFonts w:hint="eastAsia" w:ascii="Times New Roman" w:hAnsi="Times New Roman" w:eastAsia="宋体" w:cs="Times New Roman"/>
                      <w:color w:val="auto"/>
                      <w:sz w:val="21"/>
                      <w:szCs w:val="21"/>
                      <w:highlight w:val="none"/>
                      <w:lang w:val="en-US" w:eastAsia="zh-CN"/>
                    </w:rPr>
                    <w:instrText xml:space="preserve"> HYPERLINK "https://www.chemsrc.com/baike/1151413.html" \t "https://www.chemsrc.com/cas/_blank" </w:instrText>
                  </w:r>
                  <w:r>
                    <w:rPr>
                      <w:rFonts w:hint="eastAsia" w:ascii="Times New Roman" w:hAnsi="Times New Roman" w:eastAsia="宋体" w:cs="Times New Roman"/>
                      <w:color w:val="auto"/>
                      <w:sz w:val="21"/>
                      <w:szCs w:val="21"/>
                      <w:highlight w:val="none"/>
                      <w:lang w:val="en-US" w:eastAsia="zh-CN"/>
                    </w:rPr>
                    <w:fldChar w:fldCharType="separate"/>
                  </w:r>
                  <w:r>
                    <w:rPr>
                      <w:rFonts w:hint="eastAsia" w:ascii="Times New Roman" w:hAnsi="Times New Roman" w:eastAsia="宋体" w:cs="Times New Roman"/>
                      <w:color w:val="auto"/>
                      <w:sz w:val="21"/>
                      <w:szCs w:val="21"/>
                      <w:highlight w:val="none"/>
                      <w:lang w:val="en-US" w:eastAsia="zh-CN"/>
                    </w:rPr>
                    <w:t>74-98-6</w:t>
                  </w:r>
                  <w:r>
                    <w:rPr>
                      <w:rFonts w:hint="eastAsia" w:ascii="Times New Roman" w:hAnsi="Times New Roman" w:eastAsia="宋体" w:cs="Times New Roman"/>
                      <w:color w:val="auto"/>
                      <w:sz w:val="21"/>
                      <w:szCs w:val="21"/>
                      <w:highlight w:val="none"/>
                      <w:lang w:val="en-US" w:eastAsia="zh-CN"/>
                    </w:rPr>
                    <w:fldChar w:fldCharType="end"/>
                  </w:r>
                </w:p>
              </w:tc>
              <w:tc>
                <w:tcPr>
                  <w:tcW w:w="2988" w:type="pct"/>
                  <w:vAlign w:val="center"/>
                </w:tcPr>
                <w:p w14:paraId="3A792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无色液化气体，纯品无臭。</w:t>
                  </w:r>
                  <w:r>
                    <w:rPr>
                      <w:rFonts w:hint="eastAsia" w:cs="Times New Roman"/>
                      <w:color w:val="auto"/>
                      <w:sz w:val="21"/>
                      <w:szCs w:val="21"/>
                      <w:highlight w:val="none"/>
                      <w:lang w:val="en-US" w:eastAsia="zh-CN"/>
                    </w:rPr>
                    <w:t>熔点：-189.7℃，沸点：-42.1℃，相对密度（水=1）：0.58（-44.5℃），相对蒸气密度（空气=1）：1.6，燃烧热：-2217.8KJ/mol，临界温度：96.8℃，临界压力：4.25MPa，闪点：-104℃，引燃温度：450℃，爆炸上限：9.5%，爆炸下限：2.1%，微溶于水，溶于乙醇、乙醚。</w:t>
                  </w:r>
                </w:p>
              </w:tc>
              <w:tc>
                <w:tcPr>
                  <w:tcW w:w="595" w:type="pct"/>
                  <w:vAlign w:val="center"/>
                </w:tcPr>
                <w:p w14:paraId="0B7917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易燃</w:t>
                  </w:r>
                </w:p>
              </w:tc>
              <w:tc>
                <w:tcPr>
                  <w:tcW w:w="523" w:type="pct"/>
                  <w:vAlign w:val="center"/>
                </w:tcPr>
                <w:p w14:paraId="3E4E89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LD</w:t>
                  </w:r>
                  <w:r>
                    <w:rPr>
                      <w:rFonts w:hint="eastAsia" w:cs="Times New Roman"/>
                      <w:color w:val="auto"/>
                      <w:sz w:val="21"/>
                      <w:szCs w:val="21"/>
                      <w:highlight w:val="none"/>
                      <w:vertAlign w:val="subscript"/>
                      <w:lang w:val="en-US" w:eastAsia="zh-CN"/>
                    </w:rPr>
                    <w:t>50</w:t>
                  </w:r>
                  <w:r>
                    <w:rPr>
                      <w:rFonts w:hint="eastAsia" w:cs="Times New Roman"/>
                      <w:color w:val="auto"/>
                      <w:sz w:val="21"/>
                      <w:szCs w:val="21"/>
                      <w:highlight w:val="none"/>
                      <w:lang w:val="en-US" w:eastAsia="zh-CN"/>
                    </w:rPr>
                    <w:t>：5800mg/kg（大鼠经口）</w:t>
                  </w:r>
                </w:p>
              </w:tc>
            </w:tr>
          </w:tbl>
          <w:p w14:paraId="42B65551">
            <w:pPr>
              <w:pStyle w:val="8"/>
              <w:numPr>
                <w:ilvl w:val="0"/>
                <w:numId w:val="0"/>
              </w:numPr>
              <w:bidi w:val="0"/>
              <w:ind w:left="0" w:leftChars="0" w:firstLine="482" w:firstLineChars="200"/>
              <w:rPr>
                <w:rFonts w:hint="eastAsia"/>
                <w:b/>
                <w:bCs/>
                <w:color w:val="auto"/>
                <w:highlight w:val="none"/>
                <w:lang w:val="en-US" w:eastAsia="zh-CN"/>
              </w:rPr>
            </w:pPr>
            <w:r>
              <w:rPr>
                <w:rFonts w:hint="default" w:ascii="Times New Roman" w:hAnsi="Times New Roman" w:cs="Times New Roman"/>
                <w:b/>
                <w:bCs/>
                <w:color w:val="auto"/>
                <w:kern w:val="2"/>
                <w:sz w:val="24"/>
                <w:szCs w:val="24"/>
                <w:highlight w:val="none"/>
                <w:lang w:val="en-US" w:eastAsia="zh-CN" w:bidi="ar-SA"/>
              </w:rPr>
              <w:t>5.</w:t>
            </w:r>
            <w:r>
              <w:rPr>
                <w:rFonts w:hint="default" w:ascii="Times New Roman" w:hAnsi="Times New Roman" w:cs="Times New Roman"/>
                <w:b/>
                <w:bCs/>
                <w:color w:val="auto"/>
                <w:highlight w:val="none"/>
                <w:lang w:val="en-US" w:eastAsia="zh-CN"/>
              </w:rPr>
              <w:t>主要生</w:t>
            </w:r>
            <w:r>
              <w:rPr>
                <w:rFonts w:hint="eastAsia"/>
                <w:b/>
                <w:bCs/>
                <w:color w:val="auto"/>
                <w:highlight w:val="none"/>
                <w:lang w:val="en-US" w:eastAsia="zh-CN"/>
              </w:rPr>
              <w:t>产设备</w:t>
            </w:r>
          </w:p>
          <w:p w14:paraId="05B4F2E1">
            <w:pPr>
              <w:pStyle w:val="50"/>
              <w:tabs>
                <w:tab w:val="clear" w:pos="0"/>
              </w:tabs>
              <w:bidi w:val="0"/>
              <w:rPr>
                <w:color w:val="auto"/>
                <w:highlight w:val="none"/>
              </w:rPr>
            </w:pPr>
            <w:r>
              <w:rPr>
                <w:color w:val="auto"/>
                <w:highlight w:val="none"/>
              </w:rPr>
              <w:t>本项目</w:t>
            </w:r>
            <w:r>
              <w:rPr>
                <w:rFonts w:hint="eastAsia"/>
                <w:color w:val="auto"/>
                <w:highlight w:val="none"/>
              </w:rPr>
              <w:t>营运期</w:t>
            </w:r>
            <w:r>
              <w:rPr>
                <w:color w:val="auto"/>
                <w:highlight w:val="none"/>
              </w:rPr>
              <w:t>主要设备表</w:t>
            </w:r>
          </w:p>
          <w:tbl>
            <w:tblPr>
              <w:tblStyle w:val="3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19"/>
              <w:gridCol w:w="2691"/>
              <w:gridCol w:w="1927"/>
              <w:gridCol w:w="1578"/>
              <w:gridCol w:w="1057"/>
              <w:gridCol w:w="8"/>
            </w:tblGrid>
            <w:tr w14:paraId="1B5114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92" w:type="pct"/>
                  <w:vAlign w:val="center"/>
                </w:tcPr>
                <w:p w14:paraId="14944A0C">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b/>
                      <w:bCs/>
                      <w:color w:val="auto"/>
                      <w:sz w:val="21"/>
                      <w:szCs w:val="21"/>
                      <w:highlight w:val="none"/>
                    </w:rPr>
                  </w:pPr>
                  <w:r>
                    <w:rPr>
                      <w:b/>
                      <w:bCs/>
                      <w:color w:val="auto"/>
                      <w:sz w:val="21"/>
                      <w:szCs w:val="21"/>
                      <w:highlight w:val="none"/>
                    </w:rPr>
                    <w:t>序号</w:t>
                  </w:r>
                </w:p>
              </w:tc>
              <w:tc>
                <w:tcPr>
                  <w:tcW w:w="1707" w:type="pct"/>
                  <w:vAlign w:val="center"/>
                </w:tcPr>
                <w:p w14:paraId="2016D4D4">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b/>
                      <w:bCs/>
                      <w:color w:val="auto"/>
                      <w:sz w:val="21"/>
                      <w:szCs w:val="21"/>
                      <w:highlight w:val="none"/>
                    </w:rPr>
                  </w:pPr>
                  <w:r>
                    <w:rPr>
                      <w:b/>
                      <w:bCs/>
                      <w:color w:val="auto"/>
                      <w:sz w:val="21"/>
                      <w:szCs w:val="21"/>
                      <w:highlight w:val="none"/>
                    </w:rPr>
                    <w:t>设备名称</w:t>
                  </w:r>
                </w:p>
              </w:tc>
              <w:tc>
                <w:tcPr>
                  <w:tcW w:w="1222" w:type="pct"/>
                  <w:vAlign w:val="center"/>
                </w:tcPr>
                <w:p w14:paraId="0F83E097">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b/>
                      <w:bCs/>
                      <w:color w:val="auto"/>
                      <w:sz w:val="21"/>
                      <w:szCs w:val="21"/>
                      <w:highlight w:val="none"/>
                    </w:rPr>
                  </w:pPr>
                  <w:r>
                    <w:rPr>
                      <w:b/>
                      <w:bCs/>
                      <w:color w:val="auto"/>
                      <w:sz w:val="21"/>
                      <w:szCs w:val="21"/>
                      <w:highlight w:val="none"/>
                    </w:rPr>
                    <w:t>规格型号</w:t>
                  </w:r>
                </w:p>
              </w:tc>
              <w:tc>
                <w:tcPr>
                  <w:tcW w:w="1001" w:type="pct"/>
                  <w:vAlign w:val="center"/>
                </w:tcPr>
                <w:p w14:paraId="705F535A">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b/>
                      <w:bCs/>
                      <w:color w:val="auto"/>
                      <w:sz w:val="21"/>
                      <w:szCs w:val="21"/>
                      <w:highlight w:val="none"/>
                    </w:rPr>
                  </w:pPr>
                  <w:r>
                    <w:rPr>
                      <w:b/>
                      <w:bCs/>
                      <w:color w:val="auto"/>
                      <w:sz w:val="21"/>
                      <w:szCs w:val="21"/>
                      <w:highlight w:val="none"/>
                    </w:rPr>
                    <w:t>数量（台/套）</w:t>
                  </w:r>
                </w:p>
              </w:tc>
              <w:tc>
                <w:tcPr>
                  <w:tcW w:w="675" w:type="pct"/>
                  <w:gridSpan w:val="2"/>
                  <w:vAlign w:val="center"/>
                </w:tcPr>
                <w:p w14:paraId="2C29CF9A">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使用工序</w:t>
                  </w:r>
                </w:p>
              </w:tc>
            </w:tr>
            <w:tr w14:paraId="5DA86F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311" w:hRule="atLeast"/>
                <w:jc w:val="center"/>
              </w:trPr>
              <w:tc>
                <w:tcPr>
                  <w:tcW w:w="392" w:type="pct"/>
                  <w:shd w:val="clear" w:color="auto" w:fill="auto"/>
                  <w:vAlign w:val="center"/>
                </w:tcPr>
                <w:p w14:paraId="4B75105D">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300D400D">
                  <w:pPr>
                    <w:pStyle w:val="91"/>
                    <w:bidi w:val="0"/>
                    <w:ind w:firstLine="0" w:firstLineChars="0"/>
                    <w:jc w:val="center"/>
                    <w:rPr>
                      <w:rFonts w:hint="default"/>
                      <w:color w:val="auto"/>
                      <w:vertAlign w:val="baseline"/>
                      <w:lang w:val="en-US" w:eastAsia="zh-CN"/>
                    </w:rPr>
                  </w:pPr>
                  <w:r>
                    <w:rPr>
                      <w:rFonts w:hint="default"/>
                      <w:color w:val="auto"/>
                      <w:vertAlign w:val="baseline"/>
                      <w:lang w:val="en-US" w:eastAsia="zh-CN"/>
                    </w:rPr>
                    <w:t>电池重物冲击试验机</w:t>
                  </w:r>
                </w:p>
                <w:p w14:paraId="5D33661E">
                  <w:pPr>
                    <w:pStyle w:val="91"/>
                    <w:bidi w:val="0"/>
                    <w:ind w:firstLine="0" w:firstLineChars="0"/>
                    <w:jc w:val="center"/>
                    <w:rPr>
                      <w:rFonts w:hint="eastAsia"/>
                      <w:color w:val="auto"/>
                      <w:vertAlign w:val="baseline"/>
                      <w:lang w:val="en-US" w:eastAsia="zh-CN"/>
                    </w:rPr>
                  </w:pPr>
                  <w:r>
                    <w:rPr>
                      <w:rFonts w:hint="eastAsia"/>
                      <w:color w:val="auto"/>
                      <w:vertAlign w:val="baseline"/>
                      <w:lang w:val="en-US" w:eastAsia="zh-CN"/>
                    </w:rPr>
                    <w:t>（重物冲击）</w:t>
                  </w:r>
                </w:p>
              </w:tc>
              <w:tc>
                <w:tcPr>
                  <w:tcW w:w="1222" w:type="pct"/>
                  <w:shd w:val="clear" w:color="auto" w:fill="auto"/>
                  <w:vAlign w:val="center"/>
                </w:tcPr>
                <w:p w14:paraId="43EB7A1B">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GX-5066</w:t>
                  </w:r>
                </w:p>
              </w:tc>
              <w:tc>
                <w:tcPr>
                  <w:tcW w:w="1001" w:type="pct"/>
                  <w:shd w:val="clear" w:color="auto" w:fill="auto"/>
                  <w:vAlign w:val="center"/>
                </w:tcPr>
                <w:p w14:paraId="53D1FAA5">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restart"/>
                  <w:shd w:val="clear" w:color="auto" w:fill="auto"/>
                  <w:vAlign w:val="center"/>
                </w:tcPr>
                <w:p w14:paraId="0C014A6C">
                  <w:pPr>
                    <w:pStyle w:val="48"/>
                    <w:keepNext w:val="0"/>
                    <w:keepLines w:val="0"/>
                    <w:pageBreakBefore w:val="0"/>
                    <w:widowControl w:val="0"/>
                    <w:tabs>
                      <w:tab w:val="left" w:pos="0"/>
                    </w:tabs>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测试检验</w:t>
                  </w:r>
                </w:p>
              </w:tc>
            </w:tr>
            <w:tr w14:paraId="034D82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311" w:hRule="atLeast"/>
                <w:jc w:val="center"/>
              </w:trPr>
              <w:tc>
                <w:tcPr>
                  <w:tcW w:w="392" w:type="pct"/>
                  <w:shd w:val="clear" w:color="auto" w:fill="auto"/>
                  <w:vAlign w:val="center"/>
                </w:tcPr>
                <w:p w14:paraId="7B5A40BC">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131191EA">
                  <w:pPr>
                    <w:pStyle w:val="91"/>
                    <w:bidi w:val="0"/>
                    <w:ind w:firstLine="0" w:firstLineChars="0"/>
                    <w:jc w:val="center"/>
                    <w:rPr>
                      <w:rFonts w:hint="default"/>
                      <w:color w:val="auto"/>
                      <w:vertAlign w:val="baseline"/>
                      <w:lang w:val="en-US" w:eastAsia="zh-CN"/>
                    </w:rPr>
                  </w:pPr>
                  <w:r>
                    <w:rPr>
                      <w:rFonts w:hint="default"/>
                      <w:color w:val="auto"/>
                      <w:vertAlign w:val="baseline"/>
                      <w:lang w:val="en-US" w:eastAsia="zh-CN"/>
                    </w:rPr>
                    <w:t>精密温控型电池短路试验机</w:t>
                  </w:r>
                </w:p>
                <w:p w14:paraId="2EBC1BBE">
                  <w:pPr>
                    <w:pStyle w:val="91"/>
                    <w:bidi w:val="0"/>
                    <w:ind w:firstLine="0" w:firstLineChars="0"/>
                    <w:jc w:val="center"/>
                    <w:rPr>
                      <w:rFonts w:hint="eastAsia"/>
                      <w:color w:val="auto"/>
                      <w:vertAlign w:val="baseline"/>
                      <w:lang w:val="zh-CN" w:eastAsia="zh-CN"/>
                    </w:rPr>
                  </w:pPr>
                  <w:r>
                    <w:rPr>
                      <w:rFonts w:hint="eastAsia"/>
                      <w:color w:val="auto"/>
                      <w:vertAlign w:val="baseline"/>
                      <w:lang w:val="en-US" w:eastAsia="zh-CN"/>
                    </w:rPr>
                    <w:t>（高温短路测试）</w:t>
                  </w:r>
                </w:p>
              </w:tc>
              <w:tc>
                <w:tcPr>
                  <w:tcW w:w="1222" w:type="pct"/>
                  <w:shd w:val="clear" w:color="auto" w:fill="auto"/>
                  <w:vAlign w:val="center"/>
                </w:tcPr>
                <w:p w14:paraId="20491303">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GX-6055-NT</w:t>
                  </w:r>
                </w:p>
              </w:tc>
              <w:tc>
                <w:tcPr>
                  <w:tcW w:w="1001" w:type="pct"/>
                  <w:shd w:val="clear" w:color="auto" w:fill="auto"/>
                  <w:vAlign w:val="center"/>
                </w:tcPr>
                <w:p w14:paraId="7F5D9A53">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shd w:val="clear" w:color="auto" w:fill="auto"/>
                  <w:vAlign w:val="center"/>
                </w:tcPr>
                <w:p w14:paraId="75DB7738">
                  <w:pPr>
                    <w:pStyle w:val="48"/>
                    <w:keepNext w:val="0"/>
                    <w:keepLines w:val="0"/>
                    <w:pageBreakBefore w:val="0"/>
                    <w:widowControl w:val="0"/>
                    <w:tabs>
                      <w:tab w:val="left" w:pos="0"/>
                    </w:tabs>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r>
            <w:tr w14:paraId="1CFBBD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6CA1DC02">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0DB07BCD">
                  <w:pPr>
                    <w:pStyle w:val="91"/>
                    <w:bidi w:val="0"/>
                    <w:ind w:firstLine="0" w:firstLineChars="0"/>
                    <w:jc w:val="center"/>
                    <w:rPr>
                      <w:rFonts w:hint="default"/>
                      <w:color w:val="auto"/>
                      <w:vertAlign w:val="baseline"/>
                      <w:lang w:val="en-US" w:eastAsia="zh-CN"/>
                    </w:rPr>
                  </w:pPr>
                  <w:r>
                    <w:rPr>
                      <w:rFonts w:hint="default"/>
                      <w:color w:val="auto"/>
                      <w:vertAlign w:val="baseline"/>
                      <w:lang w:val="en-US" w:eastAsia="zh-CN"/>
                    </w:rPr>
                    <w:t>电池针刺</w:t>
                  </w:r>
                  <w:r>
                    <w:rPr>
                      <w:rFonts w:hint="eastAsia"/>
                      <w:color w:val="auto"/>
                      <w:vertAlign w:val="baseline"/>
                      <w:lang w:val="en-US" w:eastAsia="zh-CN"/>
                    </w:rPr>
                    <w:t>（</w:t>
                  </w:r>
                  <w:r>
                    <w:rPr>
                      <w:rFonts w:hint="default"/>
                      <w:color w:val="auto"/>
                      <w:vertAlign w:val="baseline"/>
                      <w:lang w:val="en-US" w:eastAsia="zh-CN"/>
                    </w:rPr>
                    <w:t>挤压</w:t>
                  </w:r>
                  <w:r>
                    <w:rPr>
                      <w:rFonts w:hint="eastAsia"/>
                      <w:color w:val="auto"/>
                      <w:vertAlign w:val="baseline"/>
                      <w:lang w:val="en-US" w:eastAsia="zh-CN"/>
                    </w:rPr>
                    <w:t>）</w:t>
                  </w:r>
                  <w:r>
                    <w:rPr>
                      <w:rFonts w:hint="default"/>
                      <w:color w:val="auto"/>
                      <w:vertAlign w:val="baseline"/>
                      <w:lang w:val="en-US" w:eastAsia="zh-CN"/>
                    </w:rPr>
                    <w:t>试验机</w:t>
                  </w:r>
                </w:p>
                <w:p w14:paraId="71480A93">
                  <w:pPr>
                    <w:pStyle w:val="91"/>
                    <w:bidi w:val="0"/>
                    <w:ind w:firstLine="0" w:firstLineChars="0"/>
                    <w:jc w:val="center"/>
                    <w:rPr>
                      <w:rFonts w:hint="eastAsia"/>
                      <w:color w:val="auto"/>
                      <w:vertAlign w:val="baseline"/>
                      <w:lang w:val="zh-CN" w:eastAsia="zh-CN"/>
                    </w:rPr>
                  </w:pPr>
                  <w:r>
                    <w:rPr>
                      <w:rFonts w:hint="eastAsia"/>
                      <w:color w:val="auto"/>
                      <w:vertAlign w:val="baseline"/>
                      <w:lang w:val="en-US" w:eastAsia="zh-CN"/>
                    </w:rPr>
                    <w:t>（针刺测试）</w:t>
                  </w:r>
                </w:p>
              </w:tc>
              <w:tc>
                <w:tcPr>
                  <w:tcW w:w="1222" w:type="pct"/>
                  <w:shd w:val="clear" w:color="auto" w:fill="auto"/>
                  <w:vAlign w:val="center"/>
                </w:tcPr>
                <w:p w14:paraId="15276ED7">
                  <w:pPr>
                    <w:pStyle w:val="91"/>
                    <w:bidi w:val="0"/>
                    <w:ind w:firstLine="0" w:firstLineChars="0"/>
                    <w:jc w:val="center"/>
                    <w:rPr>
                      <w:rFonts w:hint="eastAsia" w:ascii="Times New Roman" w:hAnsi="Times New Roman" w:eastAsia="宋体" w:cs="Times New Roman"/>
                      <w:color w:val="auto"/>
                      <w:kern w:val="2"/>
                      <w:sz w:val="21"/>
                      <w:szCs w:val="24"/>
                      <w:vertAlign w:val="baseline"/>
                      <w:lang w:val="zh-CN" w:eastAsia="zh-CN" w:bidi="ar-SA"/>
                    </w:rPr>
                  </w:pPr>
                  <w:r>
                    <w:rPr>
                      <w:rFonts w:hint="default"/>
                      <w:color w:val="auto"/>
                      <w:vertAlign w:val="baseline"/>
                      <w:lang w:val="en-US" w:eastAsia="zh-CN"/>
                    </w:rPr>
                    <w:t>GX-5067-T30</w:t>
                  </w:r>
                </w:p>
              </w:tc>
              <w:tc>
                <w:tcPr>
                  <w:tcW w:w="1001" w:type="pct"/>
                  <w:shd w:val="clear" w:color="auto" w:fill="auto"/>
                  <w:vAlign w:val="center"/>
                </w:tcPr>
                <w:p w14:paraId="654C869A">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shd w:val="clear" w:color="auto" w:fill="auto"/>
                  <w:vAlign w:val="center"/>
                </w:tcPr>
                <w:p w14:paraId="71717C03">
                  <w:pPr>
                    <w:pStyle w:val="48"/>
                    <w:keepNext w:val="0"/>
                    <w:keepLines w:val="0"/>
                    <w:pageBreakBefore w:val="0"/>
                    <w:widowControl w:val="0"/>
                    <w:tabs>
                      <w:tab w:val="left" w:pos="0"/>
                    </w:tabs>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p>
              </w:tc>
            </w:tr>
            <w:tr w14:paraId="73BB8A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0E4BFD0A">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540BFF43">
                  <w:pPr>
                    <w:pStyle w:val="91"/>
                    <w:bidi w:val="0"/>
                    <w:ind w:firstLine="0" w:firstLineChars="0"/>
                    <w:jc w:val="center"/>
                    <w:rPr>
                      <w:rFonts w:hint="default"/>
                      <w:color w:val="auto"/>
                      <w:vertAlign w:val="baseline"/>
                      <w:lang w:val="en-US" w:eastAsia="zh-CN"/>
                    </w:rPr>
                  </w:pPr>
                  <w:r>
                    <w:rPr>
                      <w:rFonts w:hint="default"/>
                      <w:color w:val="auto"/>
                      <w:vertAlign w:val="baseline"/>
                      <w:lang w:val="en-US" w:eastAsia="zh-CN"/>
                    </w:rPr>
                    <w:t>电池热冲击试验箱</w:t>
                  </w:r>
                </w:p>
                <w:p w14:paraId="7BBE584B">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（热冲击测试）</w:t>
                  </w:r>
                </w:p>
              </w:tc>
              <w:tc>
                <w:tcPr>
                  <w:tcW w:w="1222" w:type="pct"/>
                  <w:shd w:val="clear" w:color="auto" w:fill="auto"/>
                  <w:vAlign w:val="center"/>
                </w:tcPr>
                <w:p w14:paraId="58652264">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GX-3020-BL150</w:t>
                  </w:r>
                </w:p>
              </w:tc>
              <w:tc>
                <w:tcPr>
                  <w:tcW w:w="1001" w:type="pct"/>
                  <w:shd w:val="clear" w:color="auto" w:fill="auto"/>
                  <w:vAlign w:val="center"/>
                </w:tcPr>
                <w:p w14:paraId="4A4E6213">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shd w:val="clear" w:color="auto" w:fill="auto"/>
                  <w:vAlign w:val="center"/>
                </w:tcPr>
                <w:p w14:paraId="56DE4FC9">
                  <w:pPr>
                    <w:pStyle w:val="48"/>
                    <w:keepNext w:val="0"/>
                    <w:keepLines w:val="0"/>
                    <w:pageBreakBefore w:val="0"/>
                    <w:widowControl w:val="0"/>
                    <w:tabs>
                      <w:tab w:val="left" w:pos="0"/>
                    </w:tabs>
                    <w:kinsoku/>
                    <w:wordWrap/>
                    <w:overflowPunct/>
                    <w:topLinePunct w:val="0"/>
                    <w:autoSpaceDE/>
                    <w:autoSpaceDN/>
                    <w:bidi w:val="0"/>
                    <w:adjustRightInd/>
                    <w:snapToGrid/>
                    <w:ind w:left="0" w:firstLine="0" w:firstLineChars="0"/>
                    <w:jc w:val="center"/>
                    <w:textAlignment w:val="auto"/>
                    <w:rPr>
                      <w:rFonts w:hint="default"/>
                      <w:color w:val="auto"/>
                      <w:sz w:val="21"/>
                      <w:szCs w:val="21"/>
                      <w:highlight w:val="none"/>
                      <w:lang w:val="en-US" w:eastAsia="zh-CN"/>
                    </w:rPr>
                  </w:pPr>
                </w:p>
              </w:tc>
            </w:tr>
            <w:tr w14:paraId="54AA28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119" w:hRule="atLeast"/>
                <w:jc w:val="center"/>
              </w:trPr>
              <w:tc>
                <w:tcPr>
                  <w:tcW w:w="392" w:type="pct"/>
                  <w:shd w:val="clear" w:color="auto" w:fill="auto"/>
                  <w:vAlign w:val="center"/>
                </w:tcPr>
                <w:p w14:paraId="1F59311F">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color w:val="auto"/>
                      <w:sz w:val="21"/>
                      <w:szCs w:val="21"/>
                      <w:highlight w:val="none"/>
                    </w:rPr>
                  </w:pPr>
                </w:p>
              </w:tc>
              <w:tc>
                <w:tcPr>
                  <w:tcW w:w="1707" w:type="pct"/>
                  <w:shd w:val="clear" w:color="auto" w:fill="auto"/>
                  <w:vAlign w:val="center"/>
                </w:tcPr>
                <w:p w14:paraId="12774D36">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鼓风干燥箱</w:t>
                  </w:r>
                </w:p>
              </w:tc>
              <w:tc>
                <w:tcPr>
                  <w:tcW w:w="1222" w:type="pct"/>
                  <w:shd w:val="clear" w:color="auto" w:fill="auto"/>
                  <w:vAlign w:val="center"/>
                </w:tcPr>
                <w:p w14:paraId="54C5623A">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GX-GF-2150B</w:t>
                  </w:r>
                </w:p>
              </w:tc>
              <w:tc>
                <w:tcPr>
                  <w:tcW w:w="1001" w:type="pct"/>
                  <w:shd w:val="clear" w:color="auto" w:fill="auto"/>
                  <w:vAlign w:val="center"/>
                </w:tcPr>
                <w:p w14:paraId="56CC61F5">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2</w:t>
                  </w:r>
                </w:p>
              </w:tc>
              <w:tc>
                <w:tcPr>
                  <w:tcW w:w="670" w:type="pct"/>
                  <w:vMerge w:val="continue"/>
                  <w:shd w:val="clear" w:color="auto" w:fill="auto"/>
                  <w:vAlign w:val="center"/>
                </w:tcPr>
                <w:p w14:paraId="3FC90E0A">
                  <w:pPr>
                    <w:pStyle w:val="48"/>
                    <w:keepNext w:val="0"/>
                    <w:keepLines w:val="0"/>
                    <w:pageBreakBefore w:val="0"/>
                    <w:widowControl w:val="0"/>
                    <w:tabs>
                      <w:tab w:val="left" w:pos="0"/>
                    </w:tabs>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p>
              </w:tc>
            </w:tr>
            <w:tr w14:paraId="74352C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7" w:hRule="atLeast"/>
                <w:jc w:val="center"/>
              </w:trPr>
              <w:tc>
                <w:tcPr>
                  <w:tcW w:w="392" w:type="pct"/>
                  <w:shd w:val="clear" w:color="auto" w:fill="auto"/>
                  <w:vAlign w:val="center"/>
                </w:tcPr>
                <w:p w14:paraId="7BEA6AEF">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1291DB39">
                  <w:pPr>
                    <w:pStyle w:val="91"/>
                    <w:bidi w:val="0"/>
                    <w:ind w:firstLine="0" w:firstLineChars="0"/>
                    <w:jc w:val="center"/>
                    <w:rPr>
                      <w:rFonts w:hint="eastAsia" w:ascii="Times New Roman" w:hAnsi="Times New Roman" w:eastAsia="宋体" w:cs="Times New Roman"/>
                      <w:color w:val="auto"/>
                      <w:kern w:val="2"/>
                      <w:sz w:val="21"/>
                      <w:szCs w:val="24"/>
                      <w:highlight w:val="none"/>
                      <w:vertAlign w:val="baseline"/>
                      <w:lang w:val="zh-CN" w:eastAsia="zh-CN" w:bidi="ar-SA"/>
                    </w:rPr>
                  </w:pPr>
                  <w:r>
                    <w:rPr>
                      <w:rFonts w:hint="default"/>
                      <w:color w:val="auto"/>
                      <w:highlight w:val="none"/>
                      <w:vertAlign w:val="baseline"/>
                      <w:lang w:val="en-US" w:eastAsia="zh-CN"/>
                    </w:rPr>
                    <w:t>电池防爆试验箱</w:t>
                  </w:r>
                </w:p>
              </w:tc>
              <w:tc>
                <w:tcPr>
                  <w:tcW w:w="1222" w:type="pct"/>
                  <w:shd w:val="clear" w:color="auto" w:fill="auto"/>
                  <w:vAlign w:val="center"/>
                </w:tcPr>
                <w:p w14:paraId="1143AB5D">
                  <w:pPr>
                    <w:pStyle w:val="91"/>
                    <w:bidi w:val="0"/>
                    <w:ind w:firstLine="0" w:firstLineChars="0"/>
                    <w:jc w:val="center"/>
                    <w:rPr>
                      <w:rFonts w:hint="default" w:ascii="Times New Roman" w:hAnsi="Times New Roman" w:eastAsia="宋体" w:cs="Times New Roman"/>
                      <w:color w:val="auto"/>
                      <w:kern w:val="2"/>
                      <w:sz w:val="21"/>
                      <w:szCs w:val="24"/>
                      <w:vertAlign w:val="baseline"/>
                      <w:lang w:val="zh-CN" w:eastAsia="zh-CN" w:bidi="ar-SA"/>
                    </w:rPr>
                  </w:pPr>
                  <w:r>
                    <w:rPr>
                      <w:rFonts w:hint="default"/>
                      <w:color w:val="auto"/>
                      <w:vertAlign w:val="baseline"/>
                      <w:lang w:val="en-US" w:eastAsia="zh-CN"/>
                    </w:rPr>
                    <w:t>GX-FB-200</w:t>
                  </w:r>
                </w:p>
              </w:tc>
              <w:tc>
                <w:tcPr>
                  <w:tcW w:w="1001" w:type="pct"/>
                  <w:shd w:val="clear" w:color="auto" w:fill="auto"/>
                  <w:vAlign w:val="center"/>
                </w:tcPr>
                <w:p w14:paraId="7E17E608">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shd w:val="clear" w:color="auto" w:fill="auto"/>
                  <w:vAlign w:val="center"/>
                </w:tcPr>
                <w:p w14:paraId="6282E86F">
                  <w:pPr>
                    <w:pStyle w:val="48"/>
                    <w:keepNext w:val="0"/>
                    <w:keepLines w:val="0"/>
                    <w:pageBreakBefore w:val="0"/>
                    <w:widowControl w:val="0"/>
                    <w:tabs>
                      <w:tab w:val="left" w:pos="0"/>
                    </w:tabs>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r>
            <w:tr w14:paraId="4C4789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52B44C50">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69EB097A">
                  <w:pPr>
                    <w:pStyle w:val="91"/>
                    <w:bidi w:val="0"/>
                    <w:ind w:firstLine="0" w:firstLineChars="0"/>
                    <w:jc w:val="center"/>
                    <w:rPr>
                      <w:rFonts w:hint="default"/>
                      <w:color w:val="auto"/>
                      <w:highlight w:val="none"/>
                      <w:vertAlign w:val="baseline"/>
                      <w:lang w:val="en-US" w:eastAsia="zh-CN"/>
                    </w:rPr>
                  </w:pPr>
                  <w:r>
                    <w:rPr>
                      <w:rFonts w:hint="default"/>
                      <w:color w:val="auto"/>
                      <w:highlight w:val="none"/>
                      <w:vertAlign w:val="baseline"/>
                      <w:lang w:val="en-US" w:eastAsia="zh-CN"/>
                    </w:rPr>
                    <w:t>电池低气压试验箱</w:t>
                  </w:r>
                </w:p>
                <w:p w14:paraId="59EAC1D1">
                  <w:pPr>
                    <w:pStyle w:val="91"/>
                    <w:bidi w:val="0"/>
                    <w:ind w:firstLine="0" w:firstLineChars="0"/>
                    <w:jc w:val="center"/>
                    <w:rPr>
                      <w:rFonts w:hint="eastAsia"/>
                      <w:color w:val="auto"/>
                      <w:highlight w:val="none"/>
                      <w:vertAlign w:val="baseline"/>
                      <w:lang w:val="zh-CN" w:eastAsia="zh-CN"/>
                    </w:rPr>
                  </w:pPr>
                  <w:r>
                    <w:rPr>
                      <w:rFonts w:hint="eastAsia"/>
                      <w:color w:val="auto"/>
                      <w:highlight w:val="none"/>
                      <w:vertAlign w:val="baseline"/>
                      <w:lang w:val="en-US" w:eastAsia="zh-CN"/>
                    </w:rPr>
                    <w:t>（低气压测试）</w:t>
                  </w:r>
                </w:p>
              </w:tc>
              <w:tc>
                <w:tcPr>
                  <w:tcW w:w="1222" w:type="pct"/>
                  <w:shd w:val="clear" w:color="auto" w:fill="auto"/>
                  <w:vAlign w:val="center"/>
                </w:tcPr>
                <w:p w14:paraId="46FB5036">
                  <w:pPr>
                    <w:pStyle w:val="91"/>
                    <w:bidi w:val="0"/>
                    <w:ind w:firstLine="0" w:firstLineChars="0"/>
                    <w:jc w:val="center"/>
                    <w:rPr>
                      <w:rFonts w:hint="default" w:ascii="Times New Roman" w:hAnsi="Times New Roman" w:eastAsia="宋体" w:cs="Times New Roman"/>
                      <w:color w:val="auto"/>
                      <w:kern w:val="2"/>
                      <w:sz w:val="21"/>
                      <w:szCs w:val="24"/>
                      <w:vertAlign w:val="baseline"/>
                      <w:lang w:val="zh-CN" w:eastAsia="zh-CN" w:bidi="ar-SA"/>
                    </w:rPr>
                  </w:pPr>
                  <w:r>
                    <w:rPr>
                      <w:rFonts w:hint="default"/>
                      <w:color w:val="auto"/>
                      <w:vertAlign w:val="baseline"/>
                      <w:lang w:val="en-US" w:eastAsia="zh-CN"/>
                    </w:rPr>
                    <w:t>GX-3020-ZC40</w:t>
                  </w:r>
                </w:p>
              </w:tc>
              <w:tc>
                <w:tcPr>
                  <w:tcW w:w="1001" w:type="pct"/>
                  <w:shd w:val="clear" w:color="auto" w:fill="auto"/>
                  <w:vAlign w:val="center"/>
                </w:tcPr>
                <w:p w14:paraId="7C21B65C">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vAlign w:val="center"/>
                </w:tcPr>
                <w:p w14:paraId="4CF8EE6F">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color w:val="auto"/>
                      <w:sz w:val="21"/>
                      <w:szCs w:val="21"/>
                      <w:highlight w:val="none"/>
                    </w:rPr>
                  </w:pPr>
                </w:p>
              </w:tc>
            </w:tr>
            <w:tr w14:paraId="3C7430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61957101">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342FD1BE">
                  <w:pPr>
                    <w:pStyle w:val="91"/>
                    <w:bidi w:val="0"/>
                    <w:ind w:firstLine="0" w:firstLineChars="0"/>
                    <w:jc w:val="center"/>
                    <w:rPr>
                      <w:rFonts w:hint="default"/>
                      <w:color w:val="auto"/>
                      <w:vertAlign w:val="baseline"/>
                      <w:lang w:val="en-US" w:eastAsia="zh-CN"/>
                    </w:rPr>
                  </w:pPr>
                  <w:r>
                    <w:rPr>
                      <w:rFonts w:hint="default"/>
                      <w:color w:val="auto"/>
                      <w:vertAlign w:val="baseline"/>
                      <w:lang w:val="en-US" w:eastAsia="zh-CN"/>
                    </w:rPr>
                    <w:t>高温试验箱</w:t>
                  </w:r>
                </w:p>
                <w:p w14:paraId="7D9861A8">
                  <w:pPr>
                    <w:pStyle w:val="91"/>
                    <w:bidi w:val="0"/>
                    <w:ind w:firstLine="0" w:firstLineChars="0"/>
                    <w:jc w:val="center"/>
                    <w:rPr>
                      <w:rFonts w:hint="eastAsia"/>
                      <w:color w:val="auto"/>
                      <w:vertAlign w:val="baseline"/>
                      <w:lang w:val="zh-CN" w:eastAsia="zh-CN"/>
                    </w:rPr>
                  </w:pPr>
                  <w:r>
                    <w:rPr>
                      <w:rFonts w:hint="eastAsia"/>
                      <w:color w:val="auto"/>
                      <w:vertAlign w:val="baseline"/>
                      <w:lang w:val="en-US" w:eastAsia="zh-CN"/>
                    </w:rPr>
                    <w:t>（高温短路测试）</w:t>
                  </w:r>
                </w:p>
              </w:tc>
              <w:tc>
                <w:tcPr>
                  <w:tcW w:w="1222" w:type="pct"/>
                  <w:shd w:val="clear" w:color="auto" w:fill="auto"/>
                  <w:vAlign w:val="center"/>
                </w:tcPr>
                <w:p w14:paraId="1EFE4BC2">
                  <w:pPr>
                    <w:pStyle w:val="91"/>
                    <w:bidi w:val="0"/>
                    <w:ind w:firstLine="0" w:firstLineChars="0"/>
                    <w:jc w:val="center"/>
                    <w:rPr>
                      <w:rFonts w:hint="default" w:ascii="Times New Roman" w:hAnsi="Times New Roman" w:eastAsia="宋体" w:cs="Times New Roman"/>
                      <w:color w:val="auto"/>
                      <w:kern w:val="2"/>
                      <w:sz w:val="21"/>
                      <w:szCs w:val="24"/>
                      <w:vertAlign w:val="baseline"/>
                      <w:lang w:val="zh-CN" w:eastAsia="zh-CN" w:bidi="ar-SA"/>
                    </w:rPr>
                  </w:pPr>
                  <w:r>
                    <w:rPr>
                      <w:rFonts w:hint="default"/>
                      <w:color w:val="auto"/>
                      <w:vertAlign w:val="baseline"/>
                      <w:lang w:val="en-US" w:eastAsia="zh-CN"/>
                    </w:rPr>
                    <w:t>GX-3020-672</w:t>
                  </w:r>
                </w:p>
              </w:tc>
              <w:tc>
                <w:tcPr>
                  <w:tcW w:w="1001" w:type="pct"/>
                  <w:shd w:val="clear" w:color="auto" w:fill="auto"/>
                  <w:vAlign w:val="center"/>
                </w:tcPr>
                <w:p w14:paraId="35422393">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vAlign w:val="center"/>
                </w:tcPr>
                <w:p w14:paraId="236D54B8">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color w:val="auto"/>
                      <w:sz w:val="21"/>
                      <w:szCs w:val="21"/>
                      <w:highlight w:val="none"/>
                    </w:rPr>
                  </w:pPr>
                </w:p>
              </w:tc>
            </w:tr>
            <w:tr w14:paraId="0E395B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1AFBBE2F">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6007C173">
                  <w:pPr>
                    <w:pStyle w:val="91"/>
                    <w:bidi w:val="0"/>
                    <w:ind w:firstLine="0" w:firstLineChars="0"/>
                    <w:jc w:val="center"/>
                    <w:rPr>
                      <w:rFonts w:hint="default"/>
                      <w:color w:val="auto"/>
                      <w:vertAlign w:val="baseline"/>
                      <w:lang w:val="en-US" w:eastAsia="zh-CN"/>
                    </w:rPr>
                  </w:pPr>
                  <w:r>
                    <w:rPr>
                      <w:rFonts w:hint="default"/>
                      <w:color w:val="auto"/>
                      <w:vertAlign w:val="baseline"/>
                      <w:lang w:val="en-US" w:eastAsia="zh-CN"/>
                    </w:rPr>
                    <w:t>可程式高低温试验箱</w:t>
                  </w:r>
                </w:p>
                <w:p w14:paraId="4E9D3E55">
                  <w:pPr>
                    <w:pStyle w:val="91"/>
                    <w:bidi w:val="0"/>
                    <w:ind w:firstLine="0" w:firstLineChars="0"/>
                    <w:jc w:val="center"/>
                    <w:rPr>
                      <w:rFonts w:hint="eastAsia"/>
                      <w:color w:val="auto"/>
                      <w:vertAlign w:val="baseline"/>
                      <w:lang w:val="zh-CN" w:eastAsia="zh-CN"/>
                    </w:rPr>
                  </w:pPr>
                  <w:r>
                    <w:rPr>
                      <w:rFonts w:hint="eastAsia"/>
                      <w:color w:val="auto"/>
                      <w:vertAlign w:val="baseline"/>
                      <w:lang w:val="en-US" w:eastAsia="zh-CN"/>
                    </w:rPr>
                    <w:t>（电性能、</w:t>
                  </w:r>
                  <w:r>
                    <w:rPr>
                      <w:rFonts w:hint="eastAsia" w:ascii="Times New Roman" w:hAnsi="Times New Roman" w:eastAsia="宋体" w:cs="Times New Roman"/>
                      <w:color w:val="auto"/>
                      <w:vertAlign w:val="baseline"/>
                      <w:lang w:val="en-US" w:eastAsia="zh-CN"/>
                    </w:rPr>
                    <w:t>DCR测试）</w:t>
                  </w:r>
                </w:p>
              </w:tc>
              <w:tc>
                <w:tcPr>
                  <w:tcW w:w="1222" w:type="pct"/>
                  <w:shd w:val="clear" w:color="auto" w:fill="auto"/>
                  <w:vAlign w:val="center"/>
                </w:tcPr>
                <w:p w14:paraId="26F3C370">
                  <w:pPr>
                    <w:pStyle w:val="91"/>
                    <w:bidi w:val="0"/>
                    <w:ind w:firstLine="0" w:firstLineChars="0"/>
                    <w:jc w:val="center"/>
                    <w:rPr>
                      <w:rFonts w:hint="default" w:ascii="Times New Roman" w:hAnsi="Times New Roman" w:eastAsia="宋体" w:cs="Times New Roman"/>
                      <w:color w:val="auto"/>
                      <w:kern w:val="2"/>
                      <w:sz w:val="21"/>
                      <w:szCs w:val="24"/>
                      <w:vertAlign w:val="baseline"/>
                      <w:lang w:val="zh-CN" w:eastAsia="zh-CN" w:bidi="ar-SA"/>
                    </w:rPr>
                  </w:pPr>
                  <w:r>
                    <w:rPr>
                      <w:rFonts w:hint="default"/>
                      <w:color w:val="auto"/>
                      <w:vertAlign w:val="baseline"/>
                      <w:lang w:val="en-US" w:eastAsia="zh-CN"/>
                    </w:rPr>
                    <w:t>GX-3000-672LB40</w:t>
                  </w:r>
                </w:p>
              </w:tc>
              <w:tc>
                <w:tcPr>
                  <w:tcW w:w="1001" w:type="pct"/>
                  <w:shd w:val="clear" w:color="auto" w:fill="auto"/>
                  <w:vAlign w:val="center"/>
                </w:tcPr>
                <w:p w14:paraId="5AAE8C62">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4</w:t>
                  </w:r>
                </w:p>
              </w:tc>
              <w:tc>
                <w:tcPr>
                  <w:tcW w:w="670" w:type="pct"/>
                  <w:vMerge w:val="continue"/>
                  <w:vAlign w:val="center"/>
                </w:tcPr>
                <w:p w14:paraId="19B3B61B">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eastAsia" w:eastAsia="宋体"/>
                      <w:color w:val="auto"/>
                      <w:sz w:val="21"/>
                      <w:szCs w:val="21"/>
                      <w:highlight w:val="none"/>
                      <w:lang w:eastAsia="zh-CN"/>
                    </w:rPr>
                  </w:pPr>
                </w:p>
              </w:tc>
            </w:tr>
            <w:tr w14:paraId="46C534C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22CD5BBF">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6FD2D1CA">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ascii="Times New Roman" w:hAnsi="Times New Roman" w:eastAsia="宋体" w:cs="Times New Roman"/>
                      <w:color w:val="auto"/>
                      <w:vertAlign w:val="baseline"/>
                      <w:lang w:val="en-US" w:eastAsia="zh-CN"/>
                    </w:rPr>
                    <w:t>高温箱</w:t>
                  </w:r>
                </w:p>
              </w:tc>
              <w:tc>
                <w:tcPr>
                  <w:tcW w:w="1222" w:type="pct"/>
                  <w:shd w:val="clear" w:color="auto" w:fill="auto"/>
                  <w:vAlign w:val="center"/>
                </w:tcPr>
                <w:p w14:paraId="62144F0E">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WGW-400L</w:t>
                  </w:r>
                  <w:r>
                    <w:rPr>
                      <w:rFonts w:hint="eastAsia"/>
                      <w:color w:val="auto"/>
                      <w:vertAlign w:val="baseline"/>
                      <w:lang w:val="en-US" w:eastAsia="zh-CN"/>
                    </w:rPr>
                    <w:t>—</w:t>
                  </w:r>
                  <w:r>
                    <w:rPr>
                      <w:rFonts w:hint="default"/>
                      <w:color w:val="auto"/>
                      <w:vertAlign w:val="baseline"/>
                      <w:lang w:val="en-US" w:eastAsia="zh-CN"/>
                    </w:rPr>
                    <w:t>380V</w:t>
                  </w:r>
                </w:p>
              </w:tc>
              <w:tc>
                <w:tcPr>
                  <w:tcW w:w="1001" w:type="pct"/>
                  <w:shd w:val="clear" w:color="auto" w:fill="auto"/>
                  <w:vAlign w:val="center"/>
                </w:tcPr>
                <w:p w14:paraId="04543B4C">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vAlign w:val="center"/>
                </w:tcPr>
                <w:p w14:paraId="6B1E9FC4">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eastAsia" w:eastAsia="宋体"/>
                      <w:color w:val="auto"/>
                      <w:sz w:val="21"/>
                      <w:szCs w:val="21"/>
                      <w:highlight w:val="none"/>
                      <w:lang w:eastAsia="zh-CN"/>
                    </w:rPr>
                  </w:pPr>
                </w:p>
              </w:tc>
            </w:tr>
            <w:tr w14:paraId="54C432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shd w:val="clear" w:color="auto" w:fill="auto"/>
                  <w:vAlign w:val="center"/>
                </w:tcPr>
                <w:p w14:paraId="6524F34E">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3F318109">
                  <w:pPr>
                    <w:pStyle w:val="91"/>
                    <w:bidi w:val="0"/>
                    <w:ind w:firstLine="0" w:firstLineChars="0"/>
                    <w:jc w:val="center"/>
                    <w:rPr>
                      <w:rFonts w:hint="eastAsia"/>
                      <w:color w:val="auto"/>
                      <w:vertAlign w:val="baseline"/>
                      <w:lang w:val="en-US" w:eastAsia="zh-CN"/>
                    </w:rPr>
                  </w:pPr>
                  <w:r>
                    <w:rPr>
                      <w:rFonts w:hint="eastAsia"/>
                      <w:color w:val="auto"/>
                      <w:vertAlign w:val="baseline"/>
                      <w:lang w:val="en-US" w:eastAsia="zh-CN"/>
                    </w:rPr>
                    <w:t>电池测试仪</w:t>
                  </w:r>
                </w:p>
                <w:p w14:paraId="29D96726">
                  <w:pPr>
                    <w:pStyle w:val="91"/>
                    <w:bidi w:val="0"/>
                    <w:ind w:firstLine="0" w:firstLineChars="0"/>
                    <w:jc w:val="center"/>
                    <w:rPr>
                      <w:rFonts w:hint="eastAsia" w:ascii="Times New Roman" w:hAnsi="Times New Roman" w:eastAsia="宋体" w:cs="Times New Roman"/>
                      <w:color w:val="auto"/>
                      <w:kern w:val="2"/>
                      <w:sz w:val="21"/>
                      <w:szCs w:val="24"/>
                      <w:vertAlign w:val="baseline"/>
                      <w:lang w:val="zh-CN" w:eastAsia="zh-CN" w:bidi="ar-SA"/>
                    </w:rPr>
                  </w:pPr>
                  <w:r>
                    <w:rPr>
                      <w:rFonts w:hint="eastAsia"/>
                      <w:color w:val="auto"/>
                      <w:vertAlign w:val="baseline"/>
                      <w:lang w:val="en-US" w:eastAsia="zh-CN"/>
                    </w:rPr>
                    <w:t>（电性能、电池容量）</w:t>
                  </w:r>
                </w:p>
              </w:tc>
              <w:tc>
                <w:tcPr>
                  <w:tcW w:w="1222" w:type="pct"/>
                  <w:shd w:val="clear" w:color="auto" w:fill="auto"/>
                  <w:vAlign w:val="center"/>
                </w:tcPr>
                <w:p w14:paraId="2D173780">
                  <w:pPr>
                    <w:pStyle w:val="91"/>
                    <w:bidi w:val="0"/>
                    <w:ind w:firstLine="0" w:firstLineChars="0"/>
                    <w:jc w:val="center"/>
                    <w:rPr>
                      <w:rFonts w:hint="default" w:ascii="Times New Roman" w:hAnsi="Times New Roman" w:eastAsia="宋体" w:cs="Times New Roman"/>
                      <w:color w:val="auto"/>
                      <w:kern w:val="2"/>
                      <w:sz w:val="21"/>
                      <w:szCs w:val="24"/>
                      <w:vertAlign w:val="baseline"/>
                      <w:lang w:val="zh-CN" w:eastAsia="zh-CN" w:bidi="ar-SA"/>
                    </w:rPr>
                  </w:pPr>
                  <w:r>
                    <w:rPr>
                      <w:rFonts w:hint="default"/>
                      <w:color w:val="auto"/>
                      <w:vertAlign w:val="baseline"/>
                      <w:lang w:val="en-US" w:eastAsia="zh-CN"/>
                    </w:rPr>
                    <w:t>CE-6024A-5V75A</w:t>
                  </w:r>
                </w:p>
              </w:tc>
              <w:tc>
                <w:tcPr>
                  <w:tcW w:w="1001" w:type="pct"/>
                  <w:shd w:val="clear" w:color="auto" w:fill="auto"/>
                  <w:vAlign w:val="center"/>
                </w:tcPr>
                <w:p w14:paraId="75310B4A">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3</w:t>
                  </w:r>
                </w:p>
              </w:tc>
              <w:tc>
                <w:tcPr>
                  <w:tcW w:w="670" w:type="pct"/>
                  <w:vMerge w:val="continue"/>
                  <w:vAlign w:val="center"/>
                </w:tcPr>
                <w:p w14:paraId="5811B7D2">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eastAsia="宋体"/>
                      <w:color w:val="auto"/>
                      <w:sz w:val="21"/>
                      <w:szCs w:val="21"/>
                      <w:highlight w:val="none"/>
                      <w:lang w:val="en-US" w:eastAsia="zh-CN"/>
                    </w:rPr>
                  </w:pPr>
                </w:p>
              </w:tc>
            </w:tr>
            <w:tr w14:paraId="7B0843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27127596">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1149F238">
                  <w:pPr>
                    <w:pStyle w:val="91"/>
                    <w:bidi w:val="0"/>
                    <w:ind w:firstLine="0" w:firstLineChars="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电池测试仪</w:t>
                  </w:r>
                </w:p>
              </w:tc>
              <w:tc>
                <w:tcPr>
                  <w:tcW w:w="1222" w:type="pct"/>
                  <w:shd w:val="clear" w:color="auto" w:fill="auto"/>
                  <w:vAlign w:val="center"/>
                </w:tcPr>
                <w:p w14:paraId="4E176566">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CT-4008Tn-5V6A-S1-W</w:t>
                  </w:r>
                </w:p>
              </w:tc>
              <w:tc>
                <w:tcPr>
                  <w:tcW w:w="1001" w:type="pct"/>
                  <w:shd w:val="clear" w:color="auto" w:fill="auto"/>
                  <w:vAlign w:val="center"/>
                </w:tcPr>
                <w:p w14:paraId="363D18C7">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08E1B63C">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26EB02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18AB0CCB">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799AA6E1">
                  <w:pPr>
                    <w:pStyle w:val="91"/>
                    <w:bidi w:val="0"/>
                    <w:ind w:firstLine="0" w:firstLineChars="0"/>
                    <w:jc w:val="center"/>
                    <w:rPr>
                      <w:rFonts w:hint="default" w:ascii="Times New Roman" w:hAnsi="Times New Roman" w:eastAsia="宋体" w:cs="Times New Roman"/>
                      <w:color w:val="auto"/>
                      <w:vertAlign w:val="baseline"/>
                      <w:lang w:val="en-US" w:eastAsia="zh-CN"/>
                    </w:rPr>
                  </w:pPr>
                  <w:r>
                    <w:rPr>
                      <w:rFonts w:hint="eastAsia" w:ascii="Times New Roman" w:hAnsi="Times New Roman" w:eastAsia="宋体" w:cs="Times New Roman"/>
                      <w:color w:val="auto"/>
                      <w:vertAlign w:val="baseline"/>
                      <w:lang w:val="en-US" w:eastAsia="zh-CN"/>
                    </w:rPr>
                    <w:t>电池测试仪</w:t>
                  </w:r>
                </w:p>
              </w:tc>
              <w:tc>
                <w:tcPr>
                  <w:tcW w:w="1222" w:type="pct"/>
                  <w:shd w:val="clear" w:color="auto" w:fill="auto"/>
                  <w:vAlign w:val="center"/>
                </w:tcPr>
                <w:p w14:paraId="2A6233F3">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CE-6008n-30V30A-HF</w:t>
                  </w:r>
                </w:p>
              </w:tc>
              <w:tc>
                <w:tcPr>
                  <w:tcW w:w="1001" w:type="pct"/>
                  <w:shd w:val="clear" w:color="auto" w:fill="auto"/>
                  <w:vAlign w:val="center"/>
                </w:tcPr>
                <w:p w14:paraId="6C6D18F7">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2</w:t>
                  </w:r>
                </w:p>
              </w:tc>
              <w:tc>
                <w:tcPr>
                  <w:tcW w:w="670" w:type="pct"/>
                  <w:vMerge w:val="continue"/>
                </w:tcPr>
                <w:p w14:paraId="73F17729">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2D4AC3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5D402E4B">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4BA4A4D5">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电池测试仪</w:t>
                  </w:r>
                </w:p>
              </w:tc>
              <w:tc>
                <w:tcPr>
                  <w:tcW w:w="1222" w:type="pct"/>
                  <w:shd w:val="clear" w:color="auto" w:fill="auto"/>
                  <w:vAlign w:val="center"/>
                </w:tcPr>
                <w:p w14:paraId="73D935F2">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CE-4056Q-5V30A-SR</w:t>
                  </w:r>
                </w:p>
              </w:tc>
              <w:tc>
                <w:tcPr>
                  <w:tcW w:w="1001" w:type="pct"/>
                  <w:shd w:val="clear" w:color="auto" w:fill="auto"/>
                  <w:vAlign w:val="center"/>
                </w:tcPr>
                <w:p w14:paraId="3B9B7486">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4</w:t>
                  </w:r>
                </w:p>
              </w:tc>
              <w:tc>
                <w:tcPr>
                  <w:tcW w:w="670" w:type="pct"/>
                  <w:vMerge w:val="continue"/>
                </w:tcPr>
                <w:p w14:paraId="14D34787">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175C64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3936965F">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0A067847">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电池测试仪</w:t>
                  </w:r>
                </w:p>
              </w:tc>
              <w:tc>
                <w:tcPr>
                  <w:tcW w:w="1222" w:type="pct"/>
                  <w:shd w:val="clear" w:color="auto" w:fill="auto"/>
                  <w:vAlign w:val="center"/>
                </w:tcPr>
                <w:p w14:paraId="5D6BD6DD">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CT-4064Q-5V15A-S1-W</w:t>
                  </w:r>
                </w:p>
              </w:tc>
              <w:tc>
                <w:tcPr>
                  <w:tcW w:w="1001" w:type="pct"/>
                  <w:shd w:val="clear" w:color="auto" w:fill="auto"/>
                  <w:vAlign w:val="center"/>
                </w:tcPr>
                <w:p w14:paraId="69D6DAAC">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7B644501">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522549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1DA435D0">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1284183C">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可程式恒温恒湿试验机</w:t>
                  </w:r>
                </w:p>
              </w:tc>
              <w:tc>
                <w:tcPr>
                  <w:tcW w:w="1222" w:type="pct"/>
                  <w:shd w:val="clear" w:color="auto" w:fill="auto"/>
                  <w:vAlign w:val="center"/>
                </w:tcPr>
                <w:p w14:paraId="740CD233">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default"/>
                      <w:color w:val="auto"/>
                      <w:vertAlign w:val="baseline"/>
                      <w:lang w:val="en-US" w:eastAsia="zh-CN"/>
                    </w:rPr>
                    <w:t>HD-E702-408K40</w:t>
                  </w:r>
                </w:p>
              </w:tc>
              <w:tc>
                <w:tcPr>
                  <w:tcW w:w="1001" w:type="pct"/>
                  <w:shd w:val="clear" w:color="auto" w:fill="auto"/>
                  <w:vAlign w:val="center"/>
                </w:tcPr>
                <w:p w14:paraId="66B4202C">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32038252">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53A55D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50AA0355">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28969506">
                  <w:pPr>
                    <w:pStyle w:val="91"/>
                    <w:bidi w:val="0"/>
                    <w:ind w:firstLine="0" w:firstLineChars="0"/>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highlight w:val="none"/>
                      <w:vertAlign w:val="baseline"/>
                      <w:lang w:val="en-US" w:eastAsia="zh-CN"/>
                    </w:rPr>
                    <w:t>暗室接地系统</w:t>
                  </w:r>
                </w:p>
              </w:tc>
              <w:tc>
                <w:tcPr>
                  <w:tcW w:w="1222" w:type="pct"/>
                  <w:shd w:val="clear" w:color="auto" w:fill="auto"/>
                  <w:vAlign w:val="center"/>
                </w:tcPr>
                <w:p w14:paraId="72A9CA52">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w:t>
                  </w:r>
                </w:p>
              </w:tc>
              <w:tc>
                <w:tcPr>
                  <w:tcW w:w="1001" w:type="pct"/>
                  <w:shd w:val="clear" w:color="auto" w:fill="auto"/>
                  <w:vAlign w:val="center"/>
                </w:tcPr>
                <w:p w14:paraId="3FC3B8D4">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6946FC25">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780C66F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335AAD2F">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05BC288F">
                  <w:pPr>
                    <w:pStyle w:val="91"/>
                    <w:bidi w:val="0"/>
                    <w:ind w:firstLine="0" w:firstLineChars="0"/>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highlight w:val="none"/>
                      <w:vertAlign w:val="baseline"/>
                      <w:lang w:val="en-US" w:eastAsia="zh-CN"/>
                    </w:rPr>
                    <w:t>暗室稳压电源</w:t>
                  </w:r>
                </w:p>
              </w:tc>
              <w:tc>
                <w:tcPr>
                  <w:tcW w:w="1222" w:type="pct"/>
                  <w:shd w:val="clear" w:color="auto" w:fill="auto"/>
                  <w:vAlign w:val="center"/>
                </w:tcPr>
                <w:p w14:paraId="33FEDA6E">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50Hz</w:t>
                  </w:r>
                </w:p>
              </w:tc>
              <w:tc>
                <w:tcPr>
                  <w:tcW w:w="1001" w:type="pct"/>
                  <w:shd w:val="clear" w:color="auto" w:fill="auto"/>
                  <w:vAlign w:val="center"/>
                </w:tcPr>
                <w:p w14:paraId="68C011D9">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72A0E50B">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6B1DEF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7BEB0664">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68B4356D">
                  <w:pPr>
                    <w:pStyle w:val="91"/>
                    <w:bidi w:val="0"/>
                    <w:ind w:firstLine="0" w:firstLineChars="0"/>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highlight w:val="none"/>
                      <w:vertAlign w:val="baseline"/>
                      <w:lang w:val="en-US" w:eastAsia="zh-CN"/>
                    </w:rPr>
                    <w:t>暗室变频变压电源</w:t>
                  </w:r>
                </w:p>
              </w:tc>
              <w:tc>
                <w:tcPr>
                  <w:tcW w:w="1222" w:type="pct"/>
                  <w:shd w:val="clear" w:color="auto" w:fill="auto"/>
                  <w:vAlign w:val="center"/>
                </w:tcPr>
                <w:p w14:paraId="520CEBA5">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60Hz</w:t>
                  </w:r>
                </w:p>
              </w:tc>
              <w:tc>
                <w:tcPr>
                  <w:tcW w:w="1001" w:type="pct"/>
                  <w:shd w:val="clear" w:color="auto" w:fill="auto"/>
                  <w:vAlign w:val="center"/>
                </w:tcPr>
                <w:p w14:paraId="7A693793">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4B9B2725">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77F72A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1954571E">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5CB37B98">
                  <w:pPr>
                    <w:pStyle w:val="91"/>
                    <w:bidi w:val="0"/>
                    <w:ind w:firstLine="0" w:firstLineChars="0"/>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highlight w:val="none"/>
                      <w:vertAlign w:val="baseline"/>
                      <w:lang w:val="en-US" w:eastAsia="zh-CN"/>
                    </w:rPr>
                    <w:t>3M暗室辐射测试系统</w:t>
                  </w:r>
                </w:p>
              </w:tc>
              <w:tc>
                <w:tcPr>
                  <w:tcW w:w="1222" w:type="pct"/>
                  <w:shd w:val="clear" w:color="auto" w:fill="auto"/>
                  <w:vAlign w:val="center"/>
                </w:tcPr>
                <w:p w14:paraId="5772A3CA">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w:t>
                  </w:r>
                </w:p>
              </w:tc>
              <w:tc>
                <w:tcPr>
                  <w:tcW w:w="1001" w:type="pct"/>
                  <w:shd w:val="clear" w:color="auto" w:fill="auto"/>
                  <w:vAlign w:val="center"/>
                </w:tcPr>
                <w:p w14:paraId="4113137B">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08FFC8CA">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099EB8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5FB2F329">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1381A1EA">
                  <w:pPr>
                    <w:pStyle w:val="91"/>
                    <w:bidi w:val="0"/>
                    <w:ind w:firstLine="0" w:firstLineChars="0"/>
                    <w:jc w:val="center"/>
                    <w:rPr>
                      <w:rFonts w:hint="default" w:ascii="Times New Roman" w:hAnsi="Times New Roman" w:eastAsia="宋体" w:cs="Times New Roman"/>
                      <w:color w:val="auto"/>
                      <w:kern w:val="2"/>
                      <w:sz w:val="21"/>
                      <w:szCs w:val="24"/>
                      <w:highlight w:val="none"/>
                      <w:vertAlign w:val="baseline"/>
                      <w:lang w:val="en-US" w:eastAsia="zh-CN" w:bidi="ar-SA"/>
                    </w:rPr>
                  </w:pPr>
                  <w:r>
                    <w:rPr>
                      <w:rFonts w:hint="eastAsia"/>
                      <w:color w:val="auto"/>
                      <w:highlight w:val="none"/>
                      <w:vertAlign w:val="baseline"/>
                      <w:lang w:val="en-US" w:eastAsia="zh-CN"/>
                    </w:rPr>
                    <w:t>CE传导测试系统</w:t>
                  </w:r>
                </w:p>
              </w:tc>
              <w:tc>
                <w:tcPr>
                  <w:tcW w:w="1222" w:type="pct"/>
                  <w:shd w:val="clear" w:color="auto" w:fill="auto"/>
                  <w:vAlign w:val="center"/>
                </w:tcPr>
                <w:p w14:paraId="48628B10">
                  <w:pPr>
                    <w:pStyle w:val="91"/>
                    <w:bidi w:val="0"/>
                    <w:ind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w:t>
                  </w:r>
                </w:p>
              </w:tc>
              <w:tc>
                <w:tcPr>
                  <w:tcW w:w="1001" w:type="pct"/>
                  <w:shd w:val="clear" w:color="auto" w:fill="auto"/>
                  <w:vAlign w:val="center"/>
                </w:tcPr>
                <w:p w14:paraId="43574093">
                  <w:pPr>
                    <w:pStyle w:val="91"/>
                    <w:bidi w:val="0"/>
                    <w:ind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color w:val="auto"/>
                      <w:vertAlign w:val="baseline"/>
                      <w:lang w:val="en-US" w:eastAsia="zh-CN"/>
                    </w:rPr>
                    <w:t>1</w:t>
                  </w:r>
                </w:p>
              </w:tc>
              <w:tc>
                <w:tcPr>
                  <w:tcW w:w="670" w:type="pct"/>
                  <w:vMerge w:val="continue"/>
                </w:tcPr>
                <w:p w14:paraId="3132CAF1">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6221C4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92" w:type="pct"/>
                </w:tcPr>
                <w:p w14:paraId="01462A1C">
                  <w:pPr>
                    <w:pStyle w:val="48"/>
                    <w:keepNext w:val="0"/>
                    <w:keepLines w:val="0"/>
                    <w:pageBreakBefore w:val="0"/>
                    <w:widowControl w:val="0"/>
                    <w:numPr>
                      <w:ilvl w:val="0"/>
                      <w:numId w:val="17"/>
                    </w:numPr>
                    <w:tabs>
                      <w:tab w:val="left" w:pos="0"/>
                    </w:tabs>
                    <w:kinsoku/>
                    <w:wordWrap/>
                    <w:overflowPunct/>
                    <w:topLinePunct w:val="0"/>
                    <w:autoSpaceDE/>
                    <w:autoSpaceDN/>
                    <w:bidi w:val="0"/>
                    <w:adjustRightInd/>
                    <w:snapToGrid/>
                    <w:ind w:left="0" w:leftChars="0" w:firstLine="0" w:firstLineChars="0"/>
                    <w:jc w:val="center"/>
                    <w:textAlignment w:val="auto"/>
                    <w:rPr>
                      <w:rFonts w:ascii="Times New Roman" w:hAnsi="Times New Roman" w:eastAsia="宋体" w:cs="Times New Roman"/>
                      <w:color w:val="auto"/>
                      <w:kern w:val="0"/>
                      <w:sz w:val="21"/>
                      <w:szCs w:val="21"/>
                      <w:highlight w:val="none"/>
                      <w:lang w:val="en-US" w:eastAsia="zh-CN" w:bidi="ar-SA"/>
                    </w:rPr>
                  </w:pPr>
                </w:p>
              </w:tc>
              <w:tc>
                <w:tcPr>
                  <w:tcW w:w="1707" w:type="pct"/>
                  <w:shd w:val="clear" w:color="auto" w:fill="auto"/>
                  <w:vAlign w:val="center"/>
                </w:tcPr>
                <w:p w14:paraId="7D146CC5">
                  <w:pPr>
                    <w:pStyle w:val="91"/>
                    <w:bidi w:val="0"/>
                    <w:ind w:firstLine="0" w:firstLineChars="0"/>
                    <w:jc w:val="center"/>
                    <w:rPr>
                      <w:rFonts w:hint="eastAsia"/>
                      <w:color w:val="auto"/>
                      <w:sz w:val="21"/>
                      <w:szCs w:val="21"/>
                      <w:highlight w:val="none"/>
                      <w:vertAlign w:val="baseline"/>
                      <w:lang w:val="en-US" w:eastAsia="zh-CN"/>
                    </w:rPr>
                  </w:pPr>
                  <w:r>
                    <w:rPr>
                      <w:rFonts w:ascii="宋体" w:hAnsi="宋体" w:eastAsia="宋体" w:cs="宋体"/>
                      <w:color w:val="auto"/>
                      <w:sz w:val="21"/>
                      <w:szCs w:val="21"/>
                    </w:rPr>
                    <w:t>燃烧试验机</w:t>
                  </w:r>
                </w:p>
              </w:tc>
              <w:tc>
                <w:tcPr>
                  <w:tcW w:w="1222" w:type="pct"/>
                  <w:shd w:val="clear" w:color="auto" w:fill="auto"/>
                  <w:vAlign w:val="center"/>
                </w:tcPr>
                <w:p w14:paraId="4F383B87">
                  <w:pPr>
                    <w:pStyle w:val="91"/>
                    <w:bidi w:val="0"/>
                    <w:ind w:firstLine="0" w:firstLineChars="0"/>
                    <w:jc w:val="center"/>
                    <w:rPr>
                      <w:rFonts w:hint="eastAsia"/>
                      <w:color w:val="auto"/>
                      <w:sz w:val="21"/>
                      <w:szCs w:val="21"/>
                      <w:vertAlign w:val="baseline"/>
                      <w:lang w:val="en-US" w:eastAsia="zh-CN"/>
                    </w:rPr>
                  </w:pPr>
                  <w:r>
                    <w:rPr>
                      <w:rFonts w:hint="eastAsia"/>
                      <w:color w:val="auto"/>
                      <w:sz w:val="21"/>
                      <w:szCs w:val="21"/>
                      <w:vertAlign w:val="baseline"/>
                      <w:lang w:val="en-US" w:eastAsia="zh-CN"/>
                    </w:rPr>
                    <w:t>YH-8820ULD</w:t>
                  </w:r>
                </w:p>
              </w:tc>
              <w:tc>
                <w:tcPr>
                  <w:tcW w:w="1001" w:type="pct"/>
                  <w:shd w:val="clear" w:color="auto" w:fill="auto"/>
                  <w:vAlign w:val="center"/>
                </w:tcPr>
                <w:p w14:paraId="525207C8">
                  <w:pPr>
                    <w:pStyle w:val="91"/>
                    <w:bidi w:val="0"/>
                    <w:ind w:firstLine="0" w:firstLineChars="0"/>
                    <w:jc w:val="center"/>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670" w:type="pct"/>
                  <w:vMerge w:val="continue"/>
                </w:tcPr>
                <w:p w14:paraId="3062E06B">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p>
              </w:tc>
            </w:tr>
            <w:tr w14:paraId="4B1498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gridAfter w:val="1"/>
                <w:wAfter w:w="5" w:type="pct"/>
                <w:trHeight w:val="90" w:hRule="atLeast"/>
                <w:jc w:val="center"/>
              </w:trPr>
              <w:tc>
                <w:tcPr>
                  <w:tcW w:w="3322" w:type="pct"/>
                  <w:gridSpan w:val="3"/>
                </w:tcPr>
                <w:p w14:paraId="1A49DA2E">
                  <w:pPr>
                    <w:pStyle w:val="91"/>
                    <w:bidi w:val="0"/>
                    <w:ind w:firstLine="0" w:firstLineChars="0"/>
                    <w:jc w:val="center"/>
                    <w:rPr>
                      <w:rFonts w:hint="default"/>
                      <w:color w:val="auto"/>
                      <w:vertAlign w:val="baseline"/>
                      <w:lang w:val="en-US" w:eastAsia="zh-CN"/>
                    </w:rPr>
                  </w:pPr>
                  <w:r>
                    <w:rPr>
                      <w:rFonts w:hint="eastAsia"/>
                      <w:color w:val="auto"/>
                      <w:vertAlign w:val="baseline"/>
                      <w:lang w:val="en-US" w:eastAsia="zh-CN"/>
                    </w:rPr>
                    <w:t>合计</w:t>
                  </w:r>
                </w:p>
              </w:tc>
              <w:tc>
                <w:tcPr>
                  <w:tcW w:w="1001" w:type="pct"/>
                  <w:shd w:val="clear" w:color="auto" w:fill="auto"/>
                  <w:vAlign w:val="center"/>
                </w:tcPr>
                <w:p w14:paraId="1B282E7D">
                  <w:pPr>
                    <w:pStyle w:val="91"/>
                    <w:bidi w:val="0"/>
                    <w:ind w:firstLine="0" w:firstLineChars="0"/>
                    <w:jc w:val="center"/>
                    <w:rPr>
                      <w:rFonts w:hint="default"/>
                      <w:color w:val="auto"/>
                      <w:vertAlign w:val="baseline"/>
                      <w:lang w:val="en-US" w:eastAsia="zh-CN"/>
                    </w:rPr>
                  </w:pPr>
                  <w:r>
                    <w:rPr>
                      <w:rFonts w:hint="eastAsia"/>
                      <w:color w:val="auto"/>
                      <w:vertAlign w:val="baseline"/>
                      <w:lang w:val="en-US" w:eastAsia="zh-CN"/>
                    </w:rPr>
                    <w:t>32</w:t>
                  </w:r>
                </w:p>
              </w:tc>
              <w:tc>
                <w:tcPr>
                  <w:tcW w:w="670" w:type="pct"/>
                </w:tcPr>
                <w:p w14:paraId="050C56B1">
                  <w:pPr>
                    <w:pStyle w:val="48"/>
                    <w:keepNext w:val="0"/>
                    <w:keepLines w:val="0"/>
                    <w:pageBreakBefore w:val="0"/>
                    <w:widowControl w:val="0"/>
                    <w:tabs>
                      <w:tab w:val="left" w:pos="0"/>
                    </w:tabs>
                    <w:kinsoku/>
                    <w:wordWrap/>
                    <w:overflowPunct/>
                    <w:topLinePunct w:val="0"/>
                    <w:autoSpaceDE/>
                    <w:autoSpaceDN/>
                    <w:bidi w:val="0"/>
                    <w:adjustRightInd/>
                    <w:snapToGrid/>
                    <w:ind w:left="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r>
          </w:tbl>
          <w:p w14:paraId="32DCED27">
            <w:pPr>
              <w:pStyle w:val="8"/>
              <w:bidi w:val="0"/>
              <w:rPr>
                <w:rFonts w:hint="default" w:ascii="Times New Roman" w:hAnsi="Times New Roman" w:cs="Times New Roman"/>
                <w:b/>
                <w:bCs/>
                <w:color w:val="auto"/>
                <w:highlight w:val="none"/>
                <w:lang w:eastAsia="zh-CN"/>
              </w:rPr>
            </w:pPr>
            <w:r>
              <w:rPr>
                <w:rFonts w:hint="default" w:ascii="Times New Roman" w:hAnsi="Times New Roman" w:cs="Times New Roman"/>
                <w:b/>
                <w:bCs/>
                <w:color w:val="auto"/>
                <w:highlight w:val="none"/>
                <w:lang w:val="en-US" w:eastAsia="zh-CN"/>
              </w:rPr>
              <w:t>6.水平衡</w:t>
            </w:r>
          </w:p>
          <w:p w14:paraId="39AC9D66">
            <w:pPr>
              <w:pStyle w:val="8"/>
              <w:bidi w:val="0"/>
              <w:rPr>
                <w:rFonts w:hint="eastAsia"/>
                <w:color w:val="auto"/>
                <w:highlight w:val="none"/>
                <w:lang w:val="en-US" w:eastAsia="zh-CN"/>
              </w:rPr>
            </w:pPr>
            <w:r>
              <w:rPr>
                <w:rFonts w:hint="eastAsia"/>
                <w:color w:val="auto"/>
                <w:highlight w:val="none"/>
                <w:lang w:val="en-US" w:eastAsia="zh-CN"/>
              </w:rPr>
              <w:t>本项目用水主要为生活用水、</w:t>
            </w:r>
            <w:sdt>
              <w:sdtPr>
                <w:rPr>
                  <w:color w:val="auto"/>
                </w:rPr>
                <w:alias w:val="语法错误"/>
                <w:tag w:val="reviewtag_auto"/>
                <w:id w:val="21026"/>
              </w:sdtPr>
              <w:sdtEndPr>
                <w:rPr>
                  <w:color w:val="auto"/>
                </w:rPr>
              </w:sdtEndPr>
              <w:sdtContent>
                <w:bookmarkStart w:id="88" w:name="bkReivew21026"/>
                <w:r>
                  <w:rPr>
                    <w:rFonts w:hint="eastAsia"/>
                    <w:color w:val="auto"/>
                    <w:highlight w:val="none"/>
                    <w:lang w:val="en-US" w:eastAsia="zh-CN"/>
                  </w:rPr>
                  <w:t>泡</w:t>
                </w:r>
                <w:bookmarkEnd w:id="88"/>
              </w:sdtContent>
            </w:sdt>
            <w:r>
              <w:rPr>
                <w:rFonts w:hint="eastAsia"/>
                <w:color w:val="auto"/>
                <w:highlight w:val="none"/>
                <w:lang w:val="en-US" w:eastAsia="zh-CN"/>
              </w:rPr>
              <w:t>电池水，不涉及地面清洗，地面仅需进行简单清扫。</w:t>
            </w:r>
          </w:p>
          <w:p w14:paraId="4E268251">
            <w:pPr>
              <w:pStyle w:val="8"/>
              <w:bidi w:val="0"/>
              <w:rPr>
                <w:rFonts w:hint="default" w:ascii="Times New Roman" w:hAnsi="Times New Roman" w:cs="Times New Roman"/>
                <w:color w:val="auto"/>
                <w:highlight w:val="none"/>
                <w:lang w:val="en-US" w:eastAsia="zh-CN"/>
              </w:rPr>
            </w:pPr>
            <w:r>
              <w:rPr>
                <w:rFonts w:hint="default" w:ascii="Times New Roman" w:hAnsi="Times New Roman" w:cs="Times New Roman"/>
                <w:b/>
                <w:bCs/>
                <w:color w:val="auto"/>
                <w:highlight w:val="none"/>
                <w:lang w:val="en-US" w:eastAsia="zh-CN"/>
              </w:rPr>
              <w:t>（1）生活用水</w:t>
            </w:r>
          </w:p>
          <w:p w14:paraId="00C72141">
            <w:pPr>
              <w:pStyle w:val="8"/>
              <w:bidi w:val="0"/>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本项目拟定职工5人，参照《江苏省城市生活与公共用水定额》（2019年修订），本项目用水系数取50L/（d·人），全年工作250天，则生活用水量为62.5t/a。废水产生系数按照0.8计算，则生活污水产生量为50t/a。生活污水经</w:t>
            </w:r>
            <w:r>
              <w:rPr>
                <w:rFonts w:hint="eastAsia" w:ascii="Times New Roman" w:hAnsi="Times New Roman" w:cs="Times New Roman"/>
                <w:color w:val="auto"/>
                <w:highlight w:val="none"/>
                <w:lang w:val="en-US" w:eastAsia="zh-CN"/>
              </w:rPr>
              <w:t>园</w:t>
            </w:r>
            <w:r>
              <w:rPr>
                <w:rFonts w:hint="default" w:ascii="Times New Roman" w:hAnsi="Times New Roman" w:cs="Times New Roman"/>
                <w:color w:val="auto"/>
                <w:highlight w:val="none"/>
                <w:lang w:val="en-US" w:eastAsia="zh-CN"/>
              </w:rPr>
              <w:t>区化粪池预处理后接管至空港污水处理厂进一步处理，处理达标后尾水排入云台山河。</w:t>
            </w:r>
          </w:p>
          <w:p w14:paraId="5210914E">
            <w:pPr>
              <w:pStyle w:val="8"/>
              <w:bidi w:val="0"/>
              <w:rPr>
                <w:rFonts w:hint="eastAsia"/>
                <w:color w:val="auto"/>
                <w:highlight w:val="none"/>
                <w:lang w:val="en-US" w:eastAsia="zh-CN"/>
              </w:rPr>
            </w:pPr>
            <w:r>
              <w:rPr>
                <w:rFonts w:hint="eastAsia" w:ascii="Times New Roman" w:hAnsi="Times New Roman" w:eastAsia="宋体" w:cs="Times New Roman"/>
                <w:b/>
                <w:bCs/>
                <w:color w:val="auto"/>
                <w:kern w:val="2"/>
                <w:sz w:val="24"/>
                <w:szCs w:val="24"/>
                <w:highlight w:val="none"/>
                <w:lang w:val="en-US" w:eastAsia="zh-CN" w:bidi="ar-SA"/>
              </w:rPr>
              <w:t>（2）</w:t>
            </w:r>
            <w:r>
              <w:rPr>
                <w:rFonts w:hint="eastAsia"/>
                <w:b/>
                <w:bCs/>
                <w:color w:val="auto"/>
                <w:highlight w:val="none"/>
                <w:lang w:val="en-US" w:eastAsia="zh-CN"/>
              </w:rPr>
              <w:t>泡电池水</w:t>
            </w:r>
          </w:p>
          <w:p w14:paraId="3C023B9D">
            <w:pPr>
              <w:pStyle w:val="8"/>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本项目设置1个200L水桶用于浸泡电池，放电，泡电池水每月更换一次，因此用量为2.4t/a，考虑损耗量为10%，则</w:t>
            </w:r>
            <w:sdt>
              <w:sdtPr>
                <w:rPr>
                  <w:color w:val="auto"/>
                </w:rPr>
                <w:alias w:val="语法错误"/>
                <w:tag w:val="reviewtag_auto"/>
                <w:id w:val="1740"/>
              </w:sdtPr>
              <w:sdtEndPr>
                <w:rPr>
                  <w:color w:val="auto"/>
                </w:rPr>
              </w:sdtEndPr>
              <w:sdtContent>
                <w:bookmarkStart w:id="89" w:name="bkReivew1740"/>
                <w:r>
                  <w:rPr>
                    <w:rFonts w:hint="default" w:ascii="Times New Roman" w:hAnsi="Times New Roman" w:cs="Times New Roman"/>
                    <w:color w:val="auto"/>
                    <w:highlight w:val="none"/>
                    <w:lang w:val="en-US" w:eastAsia="zh-CN"/>
                  </w:rPr>
                  <w:t>产生的</w:t>
                </w:r>
                <w:bookmarkEnd w:id="89"/>
              </w:sdtContent>
            </w:sdt>
            <w:r>
              <w:rPr>
                <w:rFonts w:hint="default" w:ascii="Times New Roman" w:hAnsi="Times New Roman" w:cs="Times New Roman"/>
                <w:color w:val="auto"/>
                <w:highlight w:val="none"/>
                <w:lang w:val="en-US" w:eastAsia="zh-CN"/>
              </w:rPr>
              <w:t>泡电池废液量为2.16t/a。</w:t>
            </w:r>
          </w:p>
          <w:p w14:paraId="6472B027">
            <w:pPr>
              <w:spacing w:line="240" w:lineRule="auto"/>
              <w:ind w:left="0" w:leftChars="0" w:firstLine="0" w:firstLineChars="0"/>
              <w:rPr>
                <w:rFonts w:hint="default"/>
                <w:color w:val="auto"/>
                <w:highlight w:val="none"/>
                <w:lang w:val="en-US" w:eastAsia="zh-CN"/>
              </w:rPr>
            </w:pPr>
            <w:r>
              <w:rPr>
                <w:rFonts w:hint="default"/>
                <w:color w:val="auto"/>
                <w:highlight w:val="none"/>
                <w:lang w:val="en-US" w:eastAsia="zh-CN"/>
              </w:rPr>
              <w:object>
                <v:shape id="_x0000_i1025" o:spt="75" type="#_x0000_t75" style="height:160.7pt;width:393.15pt;" o:ole="t" filled="f" o:preferrelative="t" stroked="f" coordsize="21600,21600">
                  <v:path/>
                  <v:fill on="f" focussize="0,0"/>
                  <v:stroke on="f"/>
                  <v:imagedata r:id="rId18" cropright="806f" cropbottom="2691f" o:title=""/>
                  <o:lock v:ext="edit" aspectratio="f"/>
                  <w10:wrap type="none"/>
                  <w10:anchorlock/>
                </v:shape>
                <o:OLEObject Type="Embed" ProgID="Visio.Drawing.15" ShapeID="_x0000_i1025" DrawAspect="Content" ObjectID="_1468075725" r:id="rId17">
                  <o:LockedField>false</o:LockedField>
                </o:OLEObject>
              </w:object>
            </w:r>
          </w:p>
          <w:p w14:paraId="5BE91774">
            <w:pPr>
              <w:pStyle w:val="92"/>
              <w:bidi w:val="0"/>
              <w:rPr>
                <w:rFonts w:hint="eastAsia"/>
                <w:b/>
                <w:bCs/>
                <w:color w:val="auto"/>
                <w:sz w:val="24"/>
                <w:highlight w:val="none"/>
                <w:lang w:val="en-US" w:eastAsia="zh-CN"/>
              </w:rPr>
            </w:pPr>
            <w:r>
              <w:rPr>
                <w:rFonts w:hint="eastAsia"/>
                <w:color w:val="auto"/>
                <w:highlight w:val="none"/>
                <w:lang w:val="en-US" w:eastAsia="zh-CN"/>
              </w:rPr>
              <w:t>本项目</w:t>
            </w:r>
            <w:r>
              <w:rPr>
                <w:rFonts w:hint="eastAsia"/>
                <w:color w:val="auto"/>
                <w:highlight w:val="none"/>
              </w:rPr>
              <w:t>水平衡图（t/a）</w:t>
            </w:r>
          </w:p>
          <w:p w14:paraId="4F03D049">
            <w:pPr>
              <w:pStyle w:val="8"/>
              <w:bidi w:val="0"/>
              <w:rPr>
                <w:b/>
                <w:bCs/>
                <w:color w:val="auto"/>
                <w:highlight w:val="none"/>
              </w:rPr>
            </w:pPr>
            <w:r>
              <w:rPr>
                <w:rFonts w:hint="default" w:ascii="Times New Roman" w:hAnsi="Times New Roman" w:cs="Times New Roman"/>
                <w:b/>
                <w:bCs/>
                <w:color w:val="auto"/>
                <w:sz w:val="24"/>
                <w:highlight w:val="none"/>
                <w:lang w:val="en-US" w:eastAsia="zh-CN"/>
              </w:rPr>
              <w:t>7.</w:t>
            </w:r>
            <w:r>
              <w:rPr>
                <w:rFonts w:hint="default" w:ascii="Times New Roman" w:hAnsi="Times New Roman" w:cs="Times New Roman"/>
                <w:b/>
                <w:bCs/>
                <w:color w:val="auto"/>
                <w:highlight w:val="none"/>
              </w:rPr>
              <w:t>周围</w:t>
            </w:r>
            <w:r>
              <w:rPr>
                <w:b/>
                <w:bCs/>
                <w:color w:val="auto"/>
                <w:highlight w:val="none"/>
              </w:rPr>
              <w:t>环境状况及平面布置</w:t>
            </w:r>
          </w:p>
          <w:p w14:paraId="7DFD30E0">
            <w:pPr>
              <w:pStyle w:val="8"/>
              <w:bidi w:val="0"/>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（1）周围环境状况</w:t>
            </w:r>
          </w:p>
          <w:p w14:paraId="3026AB2B">
            <w:pPr>
              <w:pStyle w:val="8"/>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本项目位于</w:t>
            </w:r>
            <w:r>
              <w:rPr>
                <w:rFonts w:hint="default" w:ascii="Times New Roman" w:hAnsi="Times New Roman" w:cs="Times New Roman"/>
                <w:color w:val="auto"/>
                <w:highlight w:val="none"/>
                <w:lang w:eastAsia="zh-CN"/>
              </w:rPr>
              <w:t>江宁空港经济开发区</w:t>
            </w:r>
            <w:r>
              <w:rPr>
                <w:rFonts w:hint="default" w:ascii="Times New Roman" w:hAnsi="Times New Roman" w:cs="Times New Roman"/>
                <w:color w:val="auto"/>
                <w:highlight w:val="none"/>
                <w:lang w:val="en-US" w:eastAsia="zh-CN"/>
              </w:rPr>
              <w:t>横溪街道乐园路7号</w:t>
            </w:r>
            <w:r>
              <w:rPr>
                <w:rFonts w:hint="default" w:ascii="Times New Roman" w:hAnsi="Times New Roman" w:cs="Times New Roman"/>
                <w:color w:val="auto"/>
                <w:highlight w:val="none"/>
              </w:rPr>
              <w:t>，建设项目西侧</w:t>
            </w:r>
            <w:r>
              <w:rPr>
                <w:rFonts w:hint="default" w:ascii="Times New Roman" w:hAnsi="Times New Roman" w:cs="Times New Roman"/>
                <w:color w:val="auto"/>
                <w:highlight w:val="none"/>
                <w:lang w:val="en-US" w:eastAsia="zh-CN"/>
              </w:rPr>
              <w:t>隔乐园路为华源园艺</w:t>
            </w:r>
            <w:r>
              <w:rPr>
                <w:rFonts w:hint="default" w:ascii="Times New Roman" w:hAnsi="Times New Roman" w:cs="Times New Roman"/>
                <w:color w:val="auto"/>
                <w:highlight w:val="none"/>
              </w:rPr>
              <w:t>，南侧</w:t>
            </w:r>
            <w:r>
              <w:rPr>
                <w:rFonts w:hint="default" w:ascii="Times New Roman" w:hAnsi="Times New Roman" w:cs="Times New Roman"/>
                <w:color w:val="auto"/>
                <w:highlight w:val="none"/>
                <w:lang w:val="en-US" w:eastAsia="zh-CN"/>
              </w:rPr>
              <w:t>为通用钢构香港通用设备物资交易中心，</w:t>
            </w:r>
            <w:r>
              <w:rPr>
                <w:rFonts w:hint="default" w:ascii="Times New Roman" w:hAnsi="Times New Roman" w:cs="Times New Roman"/>
                <w:color w:val="auto"/>
                <w:highlight w:val="none"/>
              </w:rPr>
              <w:t>东侧隔</w:t>
            </w:r>
            <w:r>
              <w:rPr>
                <w:rFonts w:hint="default" w:ascii="Times New Roman" w:hAnsi="Times New Roman" w:cs="Times New Roman"/>
                <w:color w:val="auto"/>
                <w:highlight w:val="none"/>
                <w:lang w:val="en-US" w:eastAsia="zh-CN"/>
              </w:rPr>
              <w:t>园区内部路</w:t>
            </w:r>
            <w:r>
              <w:rPr>
                <w:rFonts w:hint="default" w:ascii="Times New Roman" w:hAnsi="Times New Roman" w:cs="Times New Roman"/>
                <w:color w:val="auto"/>
                <w:highlight w:val="none"/>
              </w:rPr>
              <w:t>为</w:t>
            </w:r>
            <w:r>
              <w:rPr>
                <w:rFonts w:hint="default" w:ascii="Times New Roman" w:hAnsi="Times New Roman" w:cs="Times New Roman"/>
                <w:color w:val="auto"/>
                <w:highlight w:val="none"/>
                <w:lang w:val="en-US" w:eastAsia="zh-CN"/>
              </w:rPr>
              <w:t>恒铭达精密公司</w:t>
            </w:r>
            <w:r>
              <w:rPr>
                <w:rFonts w:hint="default" w:ascii="Times New Roman" w:hAnsi="Times New Roman" w:cs="Times New Roman"/>
                <w:color w:val="auto"/>
                <w:highlight w:val="none"/>
              </w:rPr>
              <w:t>，北侧</w:t>
            </w:r>
            <w:r>
              <w:rPr>
                <w:rFonts w:hint="default" w:ascii="Times New Roman" w:hAnsi="Times New Roman" w:cs="Times New Roman"/>
                <w:color w:val="auto"/>
                <w:highlight w:val="none"/>
                <w:lang w:val="en-US" w:eastAsia="zh-CN"/>
              </w:rPr>
              <w:t>为园区内部企业</w:t>
            </w:r>
            <w:r>
              <w:rPr>
                <w:rFonts w:hint="default" w:ascii="Times New Roman" w:hAnsi="Times New Roman" w:cs="Times New Roman"/>
                <w:color w:val="auto"/>
                <w:highlight w:val="none"/>
              </w:rPr>
              <w:t>；具体项目周边环境保护目标分布图见附图</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p>
          <w:p w14:paraId="7F4B76CB">
            <w:pPr>
              <w:pStyle w:val="8"/>
              <w:bidi w:val="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（2）平面布置情况</w:t>
            </w:r>
          </w:p>
          <w:p w14:paraId="3924E073">
            <w:pPr>
              <w:pStyle w:val="8"/>
              <w:bidi w:val="0"/>
              <w:rPr>
                <w:rFonts w:hint="eastAsia"/>
                <w:color w:val="auto"/>
                <w:highlight w:val="none"/>
                <w:lang w:val="en-US" w:eastAsia="zh-CN"/>
              </w:rPr>
            </w:pPr>
            <w:r>
              <w:rPr>
                <w:rFonts w:hint="default" w:ascii="Times New Roman" w:hAnsi="Times New Roman" w:cs="Times New Roman"/>
                <w:color w:val="auto"/>
                <w:highlight w:val="none"/>
              </w:rPr>
              <w:t>本项目位于</w:t>
            </w:r>
            <w:r>
              <w:rPr>
                <w:rFonts w:hint="default" w:ascii="Times New Roman" w:hAnsi="Times New Roman" w:cs="Times New Roman"/>
                <w:color w:val="auto"/>
                <w:highlight w:val="none"/>
                <w:lang w:eastAsia="zh-CN"/>
              </w:rPr>
              <w:t>江宁空港经济开发区</w:t>
            </w:r>
            <w:r>
              <w:rPr>
                <w:rFonts w:hint="default" w:ascii="Times New Roman" w:hAnsi="Times New Roman" w:cs="Times New Roman"/>
                <w:color w:val="auto"/>
                <w:highlight w:val="none"/>
                <w:lang w:val="en-US" w:eastAsia="zh-CN"/>
              </w:rPr>
              <w:t>横溪街道乐园路7号</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本项目租用园区3号楼1层的厂房进行移动电源设备生产，厂房北侧自西向东为弱电机房、原料仓库、成品仓库；中部设置生产区及</w:t>
            </w:r>
            <w:bookmarkStart w:id="90" w:name="bkReivew1073234"/>
            <w:r>
              <w:rPr>
                <w:rFonts w:hint="default" w:ascii="Times New Roman" w:hAnsi="Times New Roman" w:cs="Times New Roman"/>
                <w:color w:val="auto"/>
                <w:highlight w:val="none"/>
                <w:lang w:val="en-US" w:eastAsia="zh-CN"/>
              </w:rPr>
              <w:t>办公</w:t>
            </w:r>
            <w:bookmarkEnd w:id="90"/>
            <w:r>
              <w:rPr>
                <w:rFonts w:hint="default" w:ascii="Times New Roman" w:hAnsi="Times New Roman" w:cs="Times New Roman"/>
                <w:color w:val="auto"/>
                <w:highlight w:val="none"/>
                <w:lang w:val="en-US" w:eastAsia="zh-CN"/>
              </w:rPr>
              <w:t>区；南侧设置测试区，一般固废暂存区位于车间北部。具体园区内部平面布置图见附图6，车间平面布置图见附图7。</w:t>
            </w:r>
          </w:p>
          <w:p w14:paraId="7E5D212F">
            <w:pPr>
              <w:rPr>
                <w:rFonts w:hint="eastAsia"/>
                <w:color w:val="auto"/>
              </w:rPr>
            </w:pPr>
          </w:p>
        </w:tc>
      </w:tr>
      <w:tr w14:paraId="17FE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0" w:type="pct"/>
            <w:vAlign w:val="center"/>
          </w:tcPr>
          <w:p w14:paraId="0EC7EE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auto"/>
              </w:rPr>
            </w:pPr>
            <w:bookmarkStart w:id="91" w:name="pindex794"/>
            <w:bookmarkEnd w:id="91"/>
            <w:r>
              <w:rPr>
                <w:rFonts w:ascii="Times New Roman" w:hAnsi="Times New Roman"/>
                <w:b/>
                <w:bCs/>
                <w:color w:val="auto"/>
                <w:szCs w:val="24"/>
                <w:highlight w:val="none"/>
              </w:rPr>
              <w:t>工艺流程和产排污环节</w:t>
            </w:r>
          </w:p>
        </w:tc>
        <w:tc>
          <w:tcPr>
            <w:tcW w:w="4579" w:type="pct"/>
          </w:tcPr>
          <w:p w14:paraId="64B3BA34">
            <w:pPr>
              <w:pStyle w:val="8"/>
              <w:bidi w:val="0"/>
              <w:rPr>
                <w:rFonts w:hint="eastAsia"/>
                <w:color w:val="auto"/>
                <w:highlight w:val="none"/>
              </w:rPr>
            </w:pPr>
            <w:r>
              <w:rPr>
                <w:rFonts w:hint="eastAsia"/>
                <w:b/>
                <w:bCs/>
                <w:color w:val="auto"/>
                <w:highlight w:val="none"/>
              </w:rPr>
              <w:t>施工期工艺流程、产污</w:t>
            </w:r>
            <w:r>
              <w:rPr>
                <w:rFonts w:hint="eastAsia"/>
                <w:b/>
                <w:bCs/>
                <w:color w:val="auto"/>
                <w:highlight w:val="none"/>
                <w:lang w:val="en-US" w:eastAsia="zh-CN"/>
              </w:rPr>
              <w:t>环节</w:t>
            </w:r>
            <w:r>
              <w:rPr>
                <w:rFonts w:hint="eastAsia"/>
                <w:b/>
                <w:bCs/>
                <w:color w:val="auto"/>
                <w:highlight w:val="none"/>
              </w:rPr>
              <w:t>分析</w:t>
            </w:r>
          </w:p>
          <w:p w14:paraId="6C964500">
            <w:pPr>
              <w:pStyle w:val="8"/>
              <w:bidi w:val="0"/>
              <w:rPr>
                <w:rFonts w:hint="eastAsia"/>
                <w:color w:val="auto"/>
                <w:highlight w:val="none"/>
                <w:lang w:eastAsia="zh-CN"/>
              </w:rPr>
            </w:pPr>
            <w:r>
              <w:rPr>
                <w:rFonts w:hint="eastAsia"/>
                <w:color w:val="auto"/>
                <w:highlight w:val="none"/>
              </w:rPr>
              <w:t>本项目</w:t>
            </w:r>
            <w:r>
              <w:rPr>
                <w:rFonts w:hint="eastAsia"/>
                <w:color w:val="auto"/>
                <w:highlight w:val="none"/>
                <w:lang w:eastAsia="zh-CN"/>
              </w:rPr>
              <w:t>为</w:t>
            </w:r>
            <w:r>
              <w:rPr>
                <w:rFonts w:hint="eastAsia"/>
                <w:color w:val="auto"/>
                <w:highlight w:val="none"/>
                <w:lang w:val="en-US" w:eastAsia="zh-CN"/>
              </w:rPr>
              <w:t>新建</w:t>
            </w:r>
            <w:r>
              <w:rPr>
                <w:rFonts w:hint="eastAsia"/>
                <w:color w:val="auto"/>
                <w:highlight w:val="none"/>
                <w:lang w:eastAsia="zh-CN"/>
              </w:rPr>
              <w:t>项目，建设单位租用已建厂房，施工期仅涉及厂房改造、新设备的安装调试，施工简单，且时间短，施工期环境影响较小，因此本次评价不对施工期污染源</w:t>
            </w:r>
            <w:sdt>
              <w:sdtPr>
                <w:rPr>
                  <w:color w:val="auto"/>
                </w:rPr>
                <w:alias w:val="语法错误"/>
                <w:tag w:val="reviewtag_auto"/>
                <w:id w:val="1112630"/>
              </w:sdtPr>
              <w:sdtEndPr>
                <w:rPr>
                  <w:color w:val="auto"/>
                </w:rPr>
              </w:sdtEndPr>
              <w:sdtContent>
                <w:bookmarkStart w:id="92" w:name="bkReivew1112630"/>
                <w:r>
                  <w:rPr>
                    <w:rFonts w:hint="eastAsia"/>
                    <w:color w:val="auto"/>
                    <w:highlight w:val="none"/>
                    <w:lang w:eastAsia="zh-CN"/>
                  </w:rPr>
                  <w:t>强</w:t>
                </w:r>
                <w:bookmarkEnd w:id="92"/>
              </w:sdtContent>
            </w:sdt>
            <w:r>
              <w:rPr>
                <w:rFonts w:hint="eastAsia"/>
                <w:color w:val="auto"/>
                <w:highlight w:val="none"/>
                <w:lang w:eastAsia="zh-CN"/>
              </w:rPr>
              <w:t>做进一步分析。</w:t>
            </w:r>
          </w:p>
          <w:p w14:paraId="5F6ACEBF">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运营期工艺流程：</w:t>
            </w:r>
          </w:p>
          <w:p w14:paraId="3AE29DCF">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default"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本项目主要进行移动电源设备的生产，并对外提供电芯检测服务。电芯测试线测试内容与移动电源设备测试内容基本一致，因此不再单独进行描述。</w:t>
            </w:r>
          </w:p>
          <w:p w14:paraId="6B25BF70">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b/>
                <w:bCs/>
                <w:color w:val="auto"/>
                <w:highlight w:val="none"/>
                <w:lang w:val="en-US" w:eastAsia="zh-CN"/>
              </w:rPr>
            </w:pPr>
            <w:r>
              <w:rPr>
                <w:rFonts w:hint="eastAsia" w:ascii="Times New Roman" w:eastAsia="宋体" w:cs="Times New Roman"/>
                <w:b/>
                <w:bCs/>
                <w:color w:val="auto"/>
                <w:highlight w:val="none"/>
                <w:lang w:val="en-US" w:eastAsia="zh-CN"/>
              </w:rPr>
              <w:t>1.移动电源设备</w:t>
            </w:r>
            <w:r>
              <w:rPr>
                <w:rFonts w:hint="default" w:ascii="Times New Roman" w:hAnsi="Times New Roman" w:eastAsia="宋体" w:cs="Times New Roman"/>
                <w:b/>
                <w:bCs/>
                <w:color w:val="auto"/>
                <w:highlight w:val="none"/>
                <w:lang w:val="en-US" w:eastAsia="zh-CN"/>
              </w:rPr>
              <w:t>生产工艺</w:t>
            </w:r>
          </w:p>
          <w:p w14:paraId="43D966C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cs="Times New Roman"/>
                <w:b/>
                <w:bCs/>
                <w:color w:val="auto"/>
                <w:highlight w:val="none"/>
              </w:rPr>
            </w:pPr>
            <w:r>
              <w:rPr>
                <w:rFonts w:cs="Times New Roman"/>
                <w:b/>
                <w:bCs/>
                <w:color w:val="auto"/>
                <w:highlight w:val="none"/>
              </w:rPr>
              <w:object>
                <v:shape id="_x0000_i1026" o:spt="75" type="#_x0000_t75" style="height:202.5pt;width:373.5pt;" o:ole="t" filled="f" o:preferrelative="t" stroked="f" coordsize="21600,21600">
                  <v:path/>
                  <v:fill on="f" focussize="0,0"/>
                  <v:stroke on="f"/>
                  <v:imagedata r:id="rId20" o:title=""/>
                  <o:lock v:ext="edit" aspectratio="f"/>
                  <w10:wrap type="none"/>
                  <w10:anchorlock/>
                </v:shape>
                <o:OLEObject Type="Embed" ProgID="Visio.Drawing.15" ShapeID="_x0000_i1026" DrawAspect="Content" ObjectID="_1468075726" r:id="rId19">
                  <o:LockedField>false</o:LockedField>
                </o:OLEObject>
              </w:object>
            </w:r>
          </w:p>
          <w:p w14:paraId="10555D1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color w:val="auto"/>
                <w:highlight w:val="none"/>
              </w:rPr>
            </w:pPr>
            <w:r>
              <w:rPr>
                <w:rFonts w:hint="eastAsia"/>
                <w:b/>
                <w:bCs/>
                <w:color w:val="auto"/>
                <w:highlight w:val="none"/>
                <w:lang w:val="en-US" w:eastAsia="zh-CN"/>
              </w:rPr>
              <w:t xml:space="preserve">图2-3 </w:t>
            </w:r>
            <w:r>
              <w:rPr>
                <w:rFonts w:hint="eastAsia" w:ascii="Times New Roman" w:eastAsia="宋体" w:cs="Times New Roman"/>
                <w:b/>
                <w:bCs/>
                <w:color w:val="auto"/>
                <w:highlight w:val="none"/>
                <w:lang w:val="en-US" w:eastAsia="zh-CN"/>
              </w:rPr>
              <w:t>移动电源设备生产</w:t>
            </w:r>
            <w:r>
              <w:rPr>
                <w:rFonts w:hint="eastAsia"/>
                <w:b/>
                <w:bCs/>
                <w:color w:val="auto"/>
                <w:highlight w:val="none"/>
                <w:lang w:val="en-US" w:eastAsia="zh-CN"/>
              </w:rPr>
              <w:t>工艺流程及产排污节点图</w:t>
            </w:r>
          </w:p>
          <w:p w14:paraId="3294D54B">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工艺流程简述：</w:t>
            </w:r>
          </w:p>
          <w:p w14:paraId="0DB05688">
            <w:pPr>
              <w:pStyle w:val="8"/>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default" w:ascii="Times New Roman" w:hAnsi="Times New Roman" w:eastAsia="宋体" w:cs="Times New Roman"/>
                <w:color w:val="auto"/>
                <w:sz w:val="24"/>
                <w:highlight w:val="none"/>
              </w:rPr>
            </w:pPr>
            <w:r>
              <w:rPr>
                <w:rFonts w:hint="eastAsia" w:ascii="Times New Roman" w:hAnsi="Times New Roman" w:cs="Times New Roman"/>
                <w:b/>
                <w:bCs/>
                <w:color w:val="auto"/>
                <w:sz w:val="24"/>
                <w:lang w:val="en-US" w:eastAsia="zh-CN"/>
              </w:rPr>
              <w:t>组装</w:t>
            </w:r>
            <w:r>
              <w:rPr>
                <w:rFonts w:hint="default" w:ascii="Times New Roman" w:hAnsi="Times New Roman" w:eastAsia="宋体" w:cs="Times New Roman"/>
                <w:color w:val="auto"/>
                <w:sz w:val="24"/>
              </w:rPr>
              <w:t>：</w:t>
            </w:r>
            <w:r>
              <w:rPr>
                <w:rFonts w:hint="eastAsia" w:ascii="Times New Roman" w:hAnsi="Times New Roman" w:cs="Times New Roman"/>
                <w:b w:val="0"/>
                <w:bCs w:val="0"/>
                <w:color w:val="auto"/>
                <w:sz w:val="24"/>
                <w:lang w:val="en-US" w:eastAsia="zh-CN"/>
              </w:rPr>
              <w:t>对外购的电池组进行预检，检验电池组的空载电压、回路导通，排查虚焊、短路情况。预检产生的不合格品直接退回生产厂家。将检验合格的电池组安装在塑料外壳中，定位固定，并装配电子元器件、线材及塑料配件。</w:t>
            </w:r>
            <w:r>
              <w:rPr>
                <w:rFonts w:hint="eastAsia" w:ascii="Times New Roman" w:hAnsi="Times New Roman" w:cs="Times New Roman"/>
                <w:color w:val="auto"/>
                <w:sz w:val="24"/>
                <w:lang w:val="en-US" w:eastAsia="zh-CN"/>
              </w:rPr>
              <w:t>该过程为人工、纯物理组装，不涉及胶粘、焊接工艺。该过程会产生S1废包装材料</w:t>
            </w:r>
            <w:r>
              <w:rPr>
                <w:rFonts w:hint="default" w:ascii="Times New Roman" w:hAnsi="Times New Roman" w:eastAsia="宋体" w:cs="Times New Roman"/>
                <w:color w:val="auto"/>
                <w:sz w:val="24"/>
              </w:rPr>
              <w:t>。</w:t>
            </w:r>
          </w:p>
          <w:p w14:paraId="75890E35">
            <w:pPr>
              <w:pStyle w:val="8"/>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Times New Roman" w:hAnsi="Times New Roman" w:cs="Times New Roman"/>
                <w:color w:val="auto"/>
                <w:sz w:val="24"/>
                <w:highlight w:val="none"/>
                <w:lang w:val="en-US" w:eastAsia="zh-CN"/>
              </w:rPr>
            </w:pPr>
            <w:r>
              <w:rPr>
                <w:rFonts w:hint="eastAsia" w:ascii="Times New Roman" w:hAnsi="Times New Roman" w:cs="Times New Roman"/>
                <w:b/>
                <w:bCs/>
                <w:color w:val="auto"/>
                <w:sz w:val="24"/>
                <w:lang w:val="en-US" w:eastAsia="zh-CN"/>
              </w:rPr>
              <w:t>测试检验</w:t>
            </w:r>
            <w:r>
              <w:rPr>
                <w:rFonts w:hint="default" w:ascii="Times New Roman" w:hAnsi="Times New Roman" w:eastAsia="宋体" w:cs="Times New Roman"/>
                <w:color w:val="auto"/>
                <w:sz w:val="24"/>
              </w:rPr>
              <w:t>：</w:t>
            </w:r>
            <w:r>
              <w:rPr>
                <w:rFonts w:hint="eastAsia" w:ascii="Times New Roman" w:hAnsi="Times New Roman" w:cs="Times New Roman"/>
                <w:color w:val="auto"/>
                <w:sz w:val="24"/>
                <w:lang w:val="en-US" w:eastAsia="zh-CN"/>
              </w:rPr>
              <w:t>检测样品来源于两部分，一部分来自生产线产品的抽样检测，抽样比例约33%，数量约4万只；另一部分来自外来的送样检测，数量约4800只。</w:t>
            </w:r>
            <w:r>
              <w:rPr>
                <w:rFonts w:hint="eastAsia" w:ascii="Times New Roman" w:hAnsi="Times New Roman" w:cs="Times New Roman"/>
                <w:color w:val="auto"/>
                <w:sz w:val="24"/>
                <w:lang w:val="en-US" w:eastAsia="zh-CN"/>
              </w:rPr>
              <w:t>测试检验内容包括电性能、环境可靠性能、安全性能测试等方面。电性能测试包括分容测试、倍率测试、不同温度DCR测试、不同温度循环测试；环境可靠性能包括高低温放电测试、不同温度存储测试；安全性能测试包括针刺测试、挤压测试、跌落测试、高温短路测试、热冲击测试、过充、强放测试、重物冲击测试、低气压测试、温度冲击测试、加速度冲击测试、振动测试。检测合格移动电源设备半成品进入下一步组装，检测不合格品（含外来送样）浸泡在泡电池水桶中进行放电，最终委外处置。该过程会产生S2废电池电芯、S3泡电池废液、N噪声。</w:t>
            </w:r>
          </w:p>
          <w:p w14:paraId="5952F5E9">
            <w:pPr>
              <w:rPr>
                <w:rFonts w:hint="eastAsia" w:cs="Times New Roman"/>
                <w:color w:val="auto"/>
                <w:sz w:val="24"/>
                <w:highlight w:val="none"/>
                <w:lang w:val="en-US" w:eastAsia="zh-CN"/>
              </w:rPr>
            </w:pPr>
            <w:r>
              <w:rPr>
                <w:rFonts w:hint="eastAsia" w:cs="Times New Roman"/>
                <w:color w:val="auto"/>
                <w:sz w:val="24"/>
                <w:highlight w:val="none"/>
                <w:lang w:val="en-US" w:eastAsia="zh-CN"/>
              </w:rPr>
              <w:t>另外测试过程中加热、过充或短路的方式会触发电池热失控，导致电芯安全阀开启，甚至会导致火灾事故。该</w:t>
            </w:r>
            <w:r>
              <w:rPr>
                <w:rFonts w:hint="eastAsia" w:ascii="宋体" w:hAnsi="宋体" w:eastAsia="宋体" w:cs="宋体"/>
                <w:color w:val="auto"/>
                <w:sz w:val="24"/>
                <w:szCs w:val="24"/>
                <w:lang w:val="en-US" w:eastAsia="zh-CN"/>
              </w:rPr>
              <w:t>过程</w:t>
            </w:r>
            <w:r>
              <w:rPr>
                <w:rFonts w:hint="eastAsia" w:cs="Times New Roman"/>
                <w:color w:val="auto"/>
                <w:sz w:val="24"/>
                <w:highlight w:val="none"/>
                <w:lang w:val="en-US" w:eastAsia="zh-CN"/>
              </w:rPr>
              <w:t>产生G1燃烧废气。</w:t>
            </w:r>
          </w:p>
          <w:p w14:paraId="08B505E2">
            <w:pPr>
              <w:rPr>
                <w:rFonts w:hint="eastAsia" w:cs="Times New Roman"/>
                <w:color w:val="auto"/>
                <w:sz w:val="24"/>
                <w:highlight w:val="none"/>
                <w:lang w:val="en-US" w:eastAsia="zh-CN"/>
              </w:rPr>
            </w:pPr>
            <w:r>
              <w:rPr>
                <w:rFonts w:hint="eastAsia" w:cs="Times New Roman"/>
                <w:color w:val="auto"/>
                <w:sz w:val="24"/>
                <w:highlight w:val="none"/>
                <w:lang w:val="en-US" w:eastAsia="zh-CN"/>
              </w:rPr>
              <w:t>电池由正极材料、负极材料、电解液、隔膜等其他组件组成，燃烧过程中，电解液、电池材料中胶</w:t>
            </w:r>
            <w:sdt>
              <w:sdtPr>
                <w:rPr>
                  <w:color w:val="auto"/>
                </w:rPr>
                <w:alias w:val="字词错误"/>
                <w:tag w:val="reviewtag_FF0000"/>
                <w:id w:val="1102342"/>
              </w:sdtPr>
              <w:sdtEndPr>
                <w:rPr>
                  <w:color w:val="auto"/>
                </w:rPr>
              </w:sdtEndPr>
              <w:sdtContent>
                <w:bookmarkStart w:id="93" w:name="bkReivew1102342"/>
                <w:r>
                  <w:rPr>
                    <w:rFonts w:hint="eastAsia" w:cs="Times New Roman"/>
                    <w:color w:val="auto"/>
                    <w:sz w:val="24"/>
                    <w:highlight w:val="none"/>
                    <w:lang w:val="en-US" w:eastAsia="zh-CN"/>
                  </w:rPr>
                  <w:t>粘</w:t>
                </w:r>
                <w:bookmarkEnd w:id="93"/>
              </w:sdtContent>
            </w:sdt>
            <w:r>
              <w:rPr>
                <w:rFonts w:hint="eastAsia" w:cs="Times New Roman"/>
                <w:color w:val="auto"/>
                <w:sz w:val="24"/>
                <w:highlight w:val="none"/>
                <w:lang w:val="en-US" w:eastAsia="zh-CN"/>
              </w:rPr>
              <w:t>剂会受热分解产生氟化物、非甲烷总烃，正负极材料中粉体喷射产生颗粒物。</w:t>
            </w:r>
            <w:r>
              <w:rPr>
                <w:rFonts w:hint="eastAsia"/>
                <w:color w:val="auto"/>
                <w:lang w:val="en-US" w:eastAsia="zh-CN"/>
              </w:rPr>
              <w:t>电池检验过程若发生</w:t>
            </w:r>
            <w:r>
              <w:rPr>
                <w:rFonts w:hint="eastAsia" w:cs="Times New Roman"/>
                <w:color w:val="auto"/>
                <w:sz w:val="24"/>
                <w:highlight w:val="none"/>
                <w:lang w:val="en-US" w:eastAsia="zh-CN"/>
              </w:rPr>
              <w:t>燃烧，检测人员</w:t>
            </w:r>
            <w:bookmarkStart w:id="94" w:name="bkReivew2142751"/>
            <w:r>
              <w:rPr>
                <w:rFonts w:hint="eastAsia" w:cs="Times New Roman"/>
                <w:color w:val="auto"/>
                <w:sz w:val="24"/>
                <w:highlight w:val="none"/>
                <w:lang w:val="en-US" w:eastAsia="zh-CN"/>
              </w:rPr>
              <w:t>应及时</w:t>
            </w:r>
            <w:bookmarkEnd w:id="94"/>
            <w:r>
              <w:rPr>
                <w:rFonts w:hint="eastAsia" w:cs="Times New Roman"/>
                <w:color w:val="auto"/>
                <w:sz w:val="24"/>
                <w:highlight w:val="none"/>
                <w:lang w:val="en-US" w:eastAsia="zh-CN"/>
              </w:rPr>
              <w:t>使用水基型灭火器灭火，该过程会产生S4消防废液、S5报废灭火器瓶。</w:t>
            </w:r>
          </w:p>
          <w:p w14:paraId="182CD858">
            <w:pPr>
              <w:pStyle w:val="8"/>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default" w:ascii="Times New Roman" w:hAnsi="Times New Roman" w:eastAsia="宋体" w:cs="Times New Roman"/>
                <w:color w:val="auto"/>
                <w:sz w:val="24"/>
                <w:highlight w:val="none"/>
                <w:lang w:val="en-US"/>
              </w:rPr>
            </w:pPr>
            <w:r>
              <w:rPr>
                <w:rFonts w:hint="eastAsia" w:ascii="Times New Roman" w:hAnsi="Times New Roman" w:cs="Times New Roman"/>
                <w:b/>
                <w:bCs/>
                <w:color w:val="auto"/>
                <w:sz w:val="24"/>
                <w:highlight w:val="none"/>
                <w:lang w:val="en-US" w:eastAsia="zh-CN"/>
              </w:rPr>
              <w:t>包装入库</w:t>
            </w:r>
            <w:r>
              <w:rPr>
                <w:rFonts w:hint="default" w:ascii="Times New Roman" w:hAnsi="Times New Roman" w:eastAsia="宋体" w:cs="Times New Roman"/>
                <w:color w:val="auto"/>
                <w:sz w:val="24"/>
                <w:highlight w:val="none"/>
              </w:rPr>
              <w:t>：</w:t>
            </w:r>
            <w:r>
              <w:rPr>
                <w:rFonts w:hint="eastAsia" w:ascii="Times New Roman" w:hAnsi="Times New Roman" w:cs="Times New Roman"/>
                <w:color w:val="auto"/>
                <w:sz w:val="24"/>
                <w:highlight w:val="none"/>
                <w:lang w:val="en-US" w:eastAsia="zh-CN"/>
              </w:rPr>
              <w:t>人工对组装的移动电源设备半成品进行目检，对不合格产品进行手动调整，最后再装配塑料配件及外壳，入库。</w:t>
            </w:r>
          </w:p>
          <w:p w14:paraId="695DBC4D">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b/>
                <w:bCs/>
                <w:color w:val="auto"/>
                <w:highlight w:val="none"/>
              </w:rPr>
            </w:pPr>
            <w:r>
              <w:rPr>
                <w:rFonts w:hint="eastAsia"/>
                <w:b/>
                <w:bCs/>
                <w:color w:val="auto"/>
                <w:highlight w:val="none"/>
              </w:rPr>
              <w:t>其他未说明的产污环节：</w:t>
            </w:r>
          </w:p>
          <w:p w14:paraId="7476EDAE">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default" w:ascii="Times New Roman" w:hAnsi="Times New Roman" w:eastAsia="宋体" w:cs="Times New Roman"/>
                <w:b/>
                <w:bCs/>
                <w:color w:val="auto"/>
                <w:highlight w:val="none"/>
              </w:rPr>
            </w:pPr>
            <w:r>
              <w:rPr>
                <w:rFonts w:hint="eastAsia"/>
                <w:color w:val="auto"/>
                <w:highlight w:val="none"/>
                <w:lang w:val="en-US" w:eastAsia="zh-CN"/>
              </w:rPr>
              <w:t>员工办公会产生生活污水W1、生活垃圾S6。危废贮存点会产生危废贮存废气G2</w:t>
            </w:r>
            <w:r>
              <w:rPr>
                <w:rFonts w:hint="default" w:ascii="Times New Roman" w:hAnsi="Times New Roman" w:eastAsia="宋体" w:cs="Times New Roman"/>
                <w:b w:val="0"/>
                <w:bCs w:val="0"/>
                <w:color w:val="auto"/>
                <w:sz w:val="24"/>
                <w:lang w:val="en-US" w:eastAsia="zh-CN"/>
              </w:rPr>
              <w:t>。</w:t>
            </w:r>
          </w:p>
          <w:p w14:paraId="4F46F608">
            <w:pPr>
              <w:ind w:firstLine="480"/>
              <w:rPr>
                <w:rFonts w:hint="eastAsia"/>
                <w:color w:val="auto"/>
                <w:highlight w:val="none"/>
              </w:rPr>
            </w:pPr>
            <w:r>
              <w:rPr>
                <w:rFonts w:hint="eastAsia"/>
                <w:color w:val="auto"/>
                <w:highlight w:val="none"/>
              </w:rPr>
              <w:t>本项目建成后，营运期</w:t>
            </w:r>
            <w:sdt>
              <w:sdtPr>
                <w:rPr>
                  <w:color w:val="auto"/>
                </w:rPr>
                <w:alias w:val="语法错误"/>
                <w:tag w:val="reviewtag_FF0000"/>
                <w:id w:val="51034"/>
              </w:sdtPr>
              <w:sdtEndPr>
                <w:rPr>
                  <w:color w:val="auto"/>
                </w:rPr>
              </w:sdtEndPr>
              <w:sdtContent>
                <w:bookmarkStart w:id="95" w:name="bkReivew51034"/>
                <w:r>
                  <w:rPr>
                    <w:rFonts w:hint="eastAsia"/>
                    <w:color w:val="auto"/>
                    <w:highlight w:val="none"/>
                  </w:rPr>
                  <w:t>产</w:t>
                </w:r>
                <w:bookmarkEnd w:id="95"/>
              </w:sdtContent>
            </w:sdt>
            <w:r>
              <w:rPr>
                <w:rFonts w:hint="eastAsia"/>
                <w:color w:val="auto"/>
                <w:highlight w:val="none"/>
              </w:rPr>
              <w:t>排污情况如下表2</w:t>
            </w:r>
            <w:r>
              <w:rPr>
                <w:rFonts w:hint="eastAsia"/>
                <w:color w:val="auto"/>
                <w:highlight w:val="none"/>
                <w:lang w:val="en-US" w:eastAsia="zh-CN"/>
              </w:rPr>
              <w:t>-7</w:t>
            </w:r>
            <w:r>
              <w:rPr>
                <w:rFonts w:hint="eastAsia"/>
                <w:color w:val="auto"/>
                <w:highlight w:val="none"/>
              </w:rPr>
              <w:t>。</w:t>
            </w:r>
          </w:p>
          <w:p w14:paraId="554D89A3">
            <w:pPr>
              <w:pStyle w:val="50"/>
              <w:bidi w:val="0"/>
              <w:ind w:left="0" w:leftChars="0" w:firstLine="0" w:firstLineChars="0"/>
              <w:rPr>
                <w:color w:val="auto"/>
                <w:highlight w:val="none"/>
              </w:rPr>
            </w:pPr>
            <w:r>
              <w:rPr>
                <w:rFonts w:hint="eastAsia"/>
                <w:color w:val="auto"/>
                <w:highlight w:val="none"/>
              </w:rPr>
              <w:t>产污环节</w:t>
            </w:r>
            <w:r>
              <w:rPr>
                <w:color w:val="auto"/>
                <w:highlight w:val="none"/>
              </w:rPr>
              <w:t>一览表</w:t>
            </w:r>
          </w:p>
          <w:tbl>
            <w:tblPr>
              <w:tblStyle w:val="34"/>
              <w:tblW w:w="4994"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2"/>
              <w:gridCol w:w="647"/>
              <w:gridCol w:w="1209"/>
              <w:gridCol w:w="1118"/>
              <w:gridCol w:w="1498"/>
              <w:gridCol w:w="1629"/>
              <w:gridCol w:w="1082"/>
            </w:tblGrid>
            <w:tr w14:paraId="7E185F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tcBorders>
                    <w:tl2br w:val="nil"/>
                    <w:tr2bl w:val="nil"/>
                  </w:tcBorders>
                  <w:vAlign w:val="center"/>
                </w:tcPr>
                <w:p w14:paraId="49EB376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类别</w:t>
                  </w:r>
                </w:p>
              </w:tc>
              <w:tc>
                <w:tcPr>
                  <w:tcW w:w="410" w:type="pct"/>
                  <w:tcBorders>
                    <w:tl2br w:val="nil"/>
                    <w:tr2bl w:val="nil"/>
                  </w:tcBorders>
                  <w:vAlign w:val="center"/>
                </w:tcPr>
                <w:p w14:paraId="6384A3C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编号</w:t>
                  </w:r>
                </w:p>
              </w:tc>
              <w:tc>
                <w:tcPr>
                  <w:tcW w:w="767" w:type="pct"/>
                  <w:tcBorders>
                    <w:tl2br w:val="nil"/>
                    <w:tr2bl w:val="nil"/>
                  </w:tcBorders>
                  <w:vAlign w:val="center"/>
                </w:tcPr>
                <w:p w14:paraId="1F9141BA">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名称</w:t>
                  </w:r>
                </w:p>
              </w:tc>
              <w:tc>
                <w:tcPr>
                  <w:tcW w:w="709" w:type="pct"/>
                  <w:tcBorders>
                    <w:tl2br w:val="nil"/>
                    <w:tr2bl w:val="nil"/>
                  </w:tcBorders>
                  <w:vAlign w:val="center"/>
                </w:tcPr>
                <w:p w14:paraId="2311DC68">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产生环节</w:t>
                  </w:r>
                </w:p>
              </w:tc>
              <w:tc>
                <w:tcPr>
                  <w:tcW w:w="951" w:type="pct"/>
                  <w:tcBorders>
                    <w:tl2br w:val="nil"/>
                    <w:tr2bl w:val="nil"/>
                  </w:tcBorders>
                  <w:vAlign w:val="center"/>
                </w:tcPr>
                <w:p w14:paraId="544F69D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主要污染物</w:t>
                  </w:r>
                </w:p>
              </w:tc>
              <w:tc>
                <w:tcPr>
                  <w:tcW w:w="1034" w:type="pct"/>
                  <w:tcBorders>
                    <w:tl2br w:val="nil"/>
                    <w:tr2bl w:val="nil"/>
                  </w:tcBorders>
                  <w:vAlign w:val="center"/>
                </w:tcPr>
                <w:p w14:paraId="3DD05CC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处置方式</w:t>
                  </w:r>
                </w:p>
              </w:tc>
              <w:tc>
                <w:tcPr>
                  <w:tcW w:w="686" w:type="pct"/>
                  <w:tcBorders>
                    <w:tl2br w:val="nil"/>
                    <w:tr2bl w:val="nil"/>
                  </w:tcBorders>
                  <w:vAlign w:val="center"/>
                </w:tcPr>
                <w:p w14:paraId="63A25A0F">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排放去向</w:t>
                  </w:r>
                </w:p>
              </w:tc>
            </w:tr>
            <w:tr w14:paraId="5FE4F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39" w:type="pct"/>
                  <w:vMerge w:val="restart"/>
                  <w:tcBorders>
                    <w:tl2br w:val="nil"/>
                    <w:tr2bl w:val="nil"/>
                  </w:tcBorders>
                  <w:vAlign w:val="center"/>
                </w:tcPr>
                <w:p w14:paraId="42B99B3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废气</w:t>
                  </w:r>
                </w:p>
              </w:tc>
              <w:tc>
                <w:tcPr>
                  <w:tcW w:w="410" w:type="pct"/>
                  <w:tcBorders>
                    <w:tl2br w:val="nil"/>
                    <w:tr2bl w:val="nil"/>
                  </w:tcBorders>
                  <w:vAlign w:val="center"/>
                </w:tcPr>
                <w:p w14:paraId="57D83BC6">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rPr>
                    <w:t>G</w:t>
                  </w:r>
                  <w:r>
                    <w:rPr>
                      <w:rFonts w:hint="default" w:ascii="Times New Roman" w:hAnsi="Times New Roman" w:eastAsia="宋体" w:cs="Times New Roman"/>
                      <w:b w:val="0"/>
                      <w:bCs w:val="0"/>
                      <w:color w:val="auto"/>
                      <w:sz w:val="21"/>
                      <w:szCs w:val="21"/>
                      <w:highlight w:val="none"/>
                      <w:lang w:val="en-US" w:eastAsia="zh-CN"/>
                    </w:rPr>
                    <w:t>1</w:t>
                  </w:r>
                </w:p>
              </w:tc>
              <w:tc>
                <w:tcPr>
                  <w:tcW w:w="767" w:type="pct"/>
                  <w:tcBorders>
                    <w:tl2br w:val="nil"/>
                    <w:tr2bl w:val="nil"/>
                  </w:tcBorders>
                  <w:vAlign w:val="center"/>
                </w:tcPr>
                <w:p w14:paraId="1DAAB611">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燃烧废气</w:t>
                  </w:r>
                </w:p>
              </w:tc>
              <w:tc>
                <w:tcPr>
                  <w:tcW w:w="709" w:type="pct"/>
                  <w:tcBorders>
                    <w:tl2br w:val="nil"/>
                    <w:tr2bl w:val="nil"/>
                  </w:tcBorders>
                  <w:vAlign w:val="center"/>
                </w:tcPr>
                <w:p w14:paraId="15DAC93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测试检验</w:t>
                  </w:r>
                </w:p>
              </w:tc>
              <w:tc>
                <w:tcPr>
                  <w:tcW w:w="951" w:type="pct"/>
                  <w:tcBorders>
                    <w:tl2br w:val="nil"/>
                    <w:tr2bl w:val="nil"/>
                  </w:tcBorders>
                  <w:vAlign w:val="center"/>
                </w:tcPr>
                <w:p w14:paraId="02031AB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非甲烷总烃</w:t>
                  </w:r>
                  <w:r>
                    <w:rPr>
                      <w:rFonts w:hint="eastAsia" w:ascii="Times New Roman" w:hAnsi="Times New Roman" w:cs="Times New Roman"/>
                      <w:b w:val="0"/>
                      <w:bCs w:val="0"/>
                      <w:color w:val="auto"/>
                      <w:sz w:val="21"/>
                      <w:szCs w:val="21"/>
                      <w:highlight w:val="none"/>
                      <w:vertAlign w:val="baseline"/>
                      <w:lang w:val="en-US" w:eastAsia="zh-CN"/>
                    </w:rPr>
                    <w:t>、氟化物、颗粒物</w:t>
                  </w:r>
                </w:p>
              </w:tc>
              <w:tc>
                <w:tcPr>
                  <w:tcW w:w="1034" w:type="pct"/>
                  <w:tcBorders>
                    <w:tl2br w:val="nil"/>
                    <w:tr2bl w:val="nil"/>
                  </w:tcBorders>
                  <w:vAlign w:val="center"/>
                </w:tcPr>
                <w:p w14:paraId="4CAE128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sdt>
                    <w:sdtPr>
                      <w:rPr>
                        <w:color w:val="auto"/>
                      </w:rPr>
                      <w:alias w:val="标点符号错误"/>
                      <w:tag w:val="reviewtag_FF0000"/>
                      <w:id w:val="3103655"/>
                    </w:sdtPr>
                    <w:sdtEndPr>
                      <w:rPr>
                        <w:color w:val="auto"/>
                      </w:rPr>
                    </w:sdtEndPr>
                    <w:sdtContent>
                      <w:bookmarkStart w:id="96" w:name="bkReivew3103655"/>
                      <w:r>
                        <w:rPr>
                          <w:rFonts w:hint="eastAsia" w:ascii="Times New Roman" w:hAnsi="Times New Roman" w:cs="Times New Roman"/>
                          <w:b w:val="0"/>
                          <w:bCs w:val="0"/>
                          <w:color w:val="auto"/>
                          <w:sz w:val="21"/>
                          <w:szCs w:val="21"/>
                          <w:highlight w:val="none"/>
                          <w:vertAlign w:val="baseline"/>
                          <w:lang w:val="en-US" w:eastAsia="zh-CN"/>
                        </w:rPr>
                        <w:t>/</w:t>
                      </w:r>
                      <w:bookmarkEnd w:id="96"/>
                    </w:sdtContent>
                  </w:sdt>
                </w:p>
              </w:tc>
              <w:tc>
                <w:tcPr>
                  <w:tcW w:w="686" w:type="pct"/>
                  <w:tcBorders>
                    <w:tl2br w:val="nil"/>
                    <w:tr2bl w:val="nil"/>
                  </w:tcBorders>
                  <w:vAlign w:val="center"/>
                </w:tcPr>
                <w:p w14:paraId="39CDB920">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无组织排放</w:t>
                  </w:r>
                </w:p>
              </w:tc>
            </w:tr>
            <w:tr w14:paraId="2A8BED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39" w:type="pct"/>
                  <w:vMerge w:val="continue"/>
                  <w:tcBorders>
                    <w:tl2br w:val="nil"/>
                    <w:tr2bl w:val="nil"/>
                  </w:tcBorders>
                  <w:vAlign w:val="center"/>
                </w:tcPr>
                <w:p w14:paraId="51DB67C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10" w:type="pct"/>
                  <w:tcBorders>
                    <w:tl2br w:val="nil"/>
                    <w:tr2bl w:val="nil"/>
                  </w:tcBorders>
                  <w:vAlign w:val="center"/>
                </w:tcPr>
                <w:p w14:paraId="43B91C96">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G2</w:t>
                  </w:r>
                </w:p>
              </w:tc>
              <w:tc>
                <w:tcPr>
                  <w:tcW w:w="767" w:type="pct"/>
                  <w:tcBorders>
                    <w:tl2br w:val="nil"/>
                    <w:tr2bl w:val="nil"/>
                  </w:tcBorders>
                  <w:vAlign w:val="center"/>
                </w:tcPr>
                <w:p w14:paraId="4F2ACA2A">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危废贮存废气</w:t>
                  </w:r>
                </w:p>
              </w:tc>
              <w:tc>
                <w:tcPr>
                  <w:tcW w:w="709" w:type="pct"/>
                  <w:tcBorders>
                    <w:tl2br w:val="nil"/>
                    <w:tr2bl w:val="nil"/>
                  </w:tcBorders>
                  <w:vAlign w:val="center"/>
                </w:tcPr>
                <w:p w14:paraId="7F837687">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危废贮存</w:t>
                  </w:r>
                </w:p>
              </w:tc>
              <w:tc>
                <w:tcPr>
                  <w:tcW w:w="951" w:type="pct"/>
                  <w:tcBorders>
                    <w:tl2br w:val="nil"/>
                    <w:tr2bl w:val="nil"/>
                  </w:tcBorders>
                  <w:vAlign w:val="center"/>
                </w:tcPr>
                <w:p w14:paraId="2DEB1929">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非甲烷总烃</w:t>
                  </w:r>
                </w:p>
              </w:tc>
              <w:tc>
                <w:tcPr>
                  <w:tcW w:w="1034" w:type="pct"/>
                  <w:tcBorders>
                    <w:tl2br w:val="nil"/>
                    <w:tr2bl w:val="nil"/>
                  </w:tcBorders>
                  <w:shd w:val="clear" w:color="auto" w:fill="auto"/>
                  <w:vAlign w:val="center"/>
                </w:tcPr>
                <w:p w14:paraId="2E89CF1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b w:val="0"/>
                      <w:bCs w:val="0"/>
                      <w:color w:val="auto"/>
                      <w:kern w:val="2"/>
                      <w:sz w:val="21"/>
                      <w:szCs w:val="21"/>
                      <w:highlight w:val="none"/>
                      <w:vertAlign w:val="baseline"/>
                      <w:lang w:val="en-US" w:eastAsia="zh-CN" w:bidi="ar-SA"/>
                    </w:rPr>
                  </w:pPr>
                  <w:sdt>
                    <w:sdtPr>
                      <w:rPr>
                        <w:color w:val="auto"/>
                      </w:rPr>
                      <w:alias w:val="标点符号错误"/>
                      <w:tag w:val="reviewtag_FF0000"/>
                      <w:id w:val="73532"/>
                    </w:sdtPr>
                    <w:sdtEndPr>
                      <w:rPr>
                        <w:color w:val="auto"/>
                      </w:rPr>
                    </w:sdtEndPr>
                    <w:sdtContent>
                      <w:bookmarkStart w:id="97" w:name="bkReivew73532"/>
                      <w:r>
                        <w:rPr>
                          <w:rFonts w:hint="eastAsia" w:ascii="Times New Roman" w:hAnsi="Times New Roman" w:cs="Times New Roman"/>
                          <w:b w:val="0"/>
                          <w:bCs w:val="0"/>
                          <w:color w:val="auto"/>
                          <w:sz w:val="21"/>
                          <w:szCs w:val="21"/>
                          <w:highlight w:val="none"/>
                          <w:vertAlign w:val="baseline"/>
                          <w:lang w:val="en-US" w:eastAsia="zh-CN"/>
                        </w:rPr>
                        <w:t>/</w:t>
                      </w:r>
                      <w:bookmarkEnd w:id="97"/>
                    </w:sdtContent>
                  </w:sdt>
                </w:p>
              </w:tc>
              <w:tc>
                <w:tcPr>
                  <w:tcW w:w="686" w:type="pct"/>
                  <w:tcBorders>
                    <w:tl2br w:val="nil"/>
                    <w:tr2bl w:val="nil"/>
                  </w:tcBorders>
                  <w:shd w:val="clear" w:color="auto" w:fill="auto"/>
                  <w:vAlign w:val="center"/>
                </w:tcPr>
                <w:p w14:paraId="75772370">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无组织排放</w:t>
                  </w:r>
                </w:p>
              </w:tc>
            </w:tr>
            <w:tr w14:paraId="70D6F5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tcBorders>
                    <w:tl2br w:val="nil"/>
                    <w:tr2bl w:val="nil"/>
                  </w:tcBorders>
                  <w:vAlign w:val="center"/>
                </w:tcPr>
                <w:p w14:paraId="45A42DD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废水</w:t>
                  </w:r>
                </w:p>
              </w:tc>
              <w:tc>
                <w:tcPr>
                  <w:tcW w:w="410" w:type="pct"/>
                  <w:tcBorders>
                    <w:tl2br w:val="nil"/>
                    <w:tr2bl w:val="nil"/>
                  </w:tcBorders>
                  <w:shd w:val="clear" w:color="auto" w:fill="auto"/>
                  <w:vAlign w:val="center"/>
                </w:tcPr>
                <w:p w14:paraId="0F2571D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W</w:t>
                  </w:r>
                  <w:r>
                    <w:rPr>
                      <w:rFonts w:hint="eastAsia" w:ascii="Times New Roman" w:hAnsi="Times New Roman" w:eastAsia="宋体" w:cs="Times New Roman"/>
                      <w:b w:val="0"/>
                      <w:bCs w:val="0"/>
                      <w:color w:val="auto"/>
                      <w:sz w:val="21"/>
                      <w:szCs w:val="21"/>
                      <w:vertAlign w:val="baseline"/>
                      <w:lang w:val="en-US" w:eastAsia="zh-CN"/>
                    </w:rPr>
                    <w:t>1</w:t>
                  </w:r>
                </w:p>
              </w:tc>
              <w:tc>
                <w:tcPr>
                  <w:tcW w:w="767" w:type="pct"/>
                  <w:tcBorders>
                    <w:tl2br w:val="nil"/>
                    <w:tr2bl w:val="nil"/>
                  </w:tcBorders>
                  <w:shd w:val="clear" w:color="auto" w:fill="auto"/>
                  <w:vAlign w:val="center"/>
                </w:tcPr>
                <w:p w14:paraId="1C3D58D6">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highlight w:val="none"/>
                      <w:lang w:val="en-US" w:eastAsia="zh-CN"/>
                    </w:rPr>
                    <w:t>生活污水</w:t>
                  </w:r>
                </w:p>
              </w:tc>
              <w:tc>
                <w:tcPr>
                  <w:tcW w:w="709" w:type="pct"/>
                  <w:tcBorders>
                    <w:tl2br w:val="nil"/>
                    <w:tr2bl w:val="nil"/>
                  </w:tcBorders>
                  <w:shd w:val="clear" w:color="auto" w:fill="auto"/>
                  <w:vAlign w:val="center"/>
                </w:tcPr>
                <w:p w14:paraId="1A1B881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员工生活</w:t>
                  </w:r>
                </w:p>
              </w:tc>
              <w:tc>
                <w:tcPr>
                  <w:tcW w:w="951" w:type="pct"/>
                  <w:tcBorders>
                    <w:tl2br w:val="nil"/>
                    <w:tr2bl w:val="nil"/>
                  </w:tcBorders>
                  <w:shd w:val="clear" w:color="auto" w:fill="auto"/>
                  <w:vAlign w:val="center"/>
                </w:tcPr>
                <w:p w14:paraId="327045A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COD、SS、氨氮、总氮、总磷</w:t>
                  </w:r>
                </w:p>
              </w:tc>
              <w:tc>
                <w:tcPr>
                  <w:tcW w:w="1034" w:type="pct"/>
                  <w:tcBorders>
                    <w:tl2br w:val="nil"/>
                    <w:tr2bl w:val="nil"/>
                  </w:tcBorders>
                  <w:shd w:val="clear" w:color="auto" w:fill="auto"/>
                  <w:vAlign w:val="center"/>
                </w:tcPr>
                <w:p w14:paraId="3B6BCB26">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化粪池</w:t>
                  </w:r>
                </w:p>
              </w:tc>
              <w:tc>
                <w:tcPr>
                  <w:tcW w:w="686" w:type="pct"/>
                  <w:tcBorders>
                    <w:tl2br w:val="nil"/>
                    <w:tr2bl w:val="nil"/>
                  </w:tcBorders>
                  <w:vAlign w:val="center"/>
                </w:tcPr>
                <w:p w14:paraId="2379742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空港污水处理厂</w:t>
                  </w:r>
                </w:p>
              </w:tc>
            </w:tr>
            <w:tr w14:paraId="745592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vMerge w:val="restart"/>
                  <w:tcBorders>
                    <w:tl2br w:val="nil"/>
                    <w:tr2bl w:val="nil"/>
                  </w:tcBorders>
                  <w:vAlign w:val="center"/>
                </w:tcPr>
                <w:p w14:paraId="0061E9C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固废</w:t>
                  </w:r>
                </w:p>
              </w:tc>
              <w:tc>
                <w:tcPr>
                  <w:tcW w:w="410" w:type="pct"/>
                  <w:tcBorders>
                    <w:tl2br w:val="nil"/>
                    <w:tr2bl w:val="nil"/>
                  </w:tcBorders>
                  <w:vAlign w:val="center"/>
                </w:tcPr>
                <w:p w14:paraId="6EC0530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b w:val="0"/>
                      <w:bCs w:val="0"/>
                      <w:color w:val="auto"/>
                      <w:sz w:val="21"/>
                      <w:szCs w:val="21"/>
                      <w:u w:val="none"/>
                    </w:rPr>
                    <w:t>S</w:t>
                  </w:r>
                  <w:r>
                    <w:rPr>
                      <w:rFonts w:hint="eastAsia" w:ascii="Times New Roman" w:hAnsi="Times New Roman" w:cs="Times New Roman"/>
                      <w:b w:val="0"/>
                      <w:bCs w:val="0"/>
                      <w:color w:val="auto"/>
                      <w:sz w:val="21"/>
                      <w:szCs w:val="21"/>
                      <w:u w:val="none"/>
                      <w:lang w:val="en-US" w:eastAsia="zh-CN"/>
                    </w:rPr>
                    <w:t>1</w:t>
                  </w:r>
                </w:p>
              </w:tc>
              <w:tc>
                <w:tcPr>
                  <w:tcW w:w="767" w:type="pct"/>
                  <w:tcBorders>
                    <w:tl2br w:val="nil"/>
                    <w:tr2bl w:val="nil"/>
                  </w:tcBorders>
                  <w:vAlign w:val="center"/>
                </w:tcPr>
                <w:p w14:paraId="1419AB70">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lang w:val="en-US" w:eastAsia="zh-CN"/>
                    </w:rPr>
                    <w:t>废</w:t>
                  </w:r>
                  <w:r>
                    <w:rPr>
                      <w:rFonts w:hint="eastAsia" w:ascii="Times New Roman" w:hAnsi="Times New Roman" w:cs="Times New Roman"/>
                      <w:b w:val="0"/>
                      <w:bCs w:val="0"/>
                      <w:color w:val="auto"/>
                      <w:sz w:val="21"/>
                      <w:szCs w:val="21"/>
                      <w:highlight w:val="none"/>
                      <w:u w:val="none"/>
                      <w:lang w:val="en-US" w:eastAsia="zh-CN"/>
                    </w:rPr>
                    <w:t>包装材料</w:t>
                  </w:r>
                </w:p>
              </w:tc>
              <w:tc>
                <w:tcPr>
                  <w:tcW w:w="709" w:type="pct"/>
                  <w:tcBorders>
                    <w:tl2br w:val="nil"/>
                    <w:tr2bl w:val="nil"/>
                  </w:tcBorders>
                  <w:vAlign w:val="center"/>
                </w:tcPr>
                <w:p w14:paraId="515A33E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组装</w:t>
                  </w:r>
                </w:p>
              </w:tc>
              <w:tc>
                <w:tcPr>
                  <w:tcW w:w="951" w:type="pct"/>
                  <w:tcBorders>
                    <w:tl2br w:val="nil"/>
                    <w:tr2bl w:val="nil"/>
                  </w:tcBorders>
                  <w:vAlign w:val="center"/>
                </w:tcPr>
                <w:p w14:paraId="4FB2DEF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线材、纸</w:t>
                  </w:r>
                </w:p>
              </w:tc>
              <w:tc>
                <w:tcPr>
                  <w:tcW w:w="1034" w:type="pct"/>
                  <w:tcBorders>
                    <w:tl2br w:val="nil"/>
                    <w:tr2bl w:val="nil"/>
                  </w:tcBorders>
                  <w:vAlign w:val="center"/>
                </w:tcPr>
                <w:p w14:paraId="5CC560A0">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lang w:val="en-US" w:eastAsia="zh-CN"/>
                    </w:rPr>
                    <w:t>一般固废</w:t>
                  </w:r>
                  <w:sdt>
                    <w:sdtPr>
                      <w:rPr>
                        <w:color w:val="auto"/>
                      </w:rPr>
                      <w:alias w:val="语法错误"/>
                      <w:tag w:val="reviewtag_FF0000"/>
                      <w:id w:val="2171054"/>
                    </w:sdtPr>
                    <w:sdtEndPr>
                      <w:rPr>
                        <w:color w:val="auto"/>
                      </w:rPr>
                    </w:sdtEndPr>
                    <w:sdtContent>
                      <w:bookmarkStart w:id="98" w:name="bkReivew2171054"/>
                      <w:r>
                        <w:rPr>
                          <w:rFonts w:hint="default" w:ascii="Times New Roman" w:hAnsi="Times New Roman" w:eastAsia="宋体" w:cs="Times New Roman"/>
                          <w:b w:val="0"/>
                          <w:bCs w:val="0"/>
                          <w:color w:val="auto"/>
                          <w:sz w:val="21"/>
                          <w:szCs w:val="21"/>
                          <w:highlight w:val="none"/>
                          <w:lang w:val="en-US" w:eastAsia="zh-CN"/>
                        </w:rPr>
                        <w:t>仓库</w:t>
                      </w:r>
                      <w:bookmarkEnd w:id="98"/>
                    </w:sdtContent>
                  </w:sdt>
                  <w:r>
                    <w:rPr>
                      <w:rFonts w:hint="default" w:ascii="Times New Roman" w:hAnsi="Times New Roman" w:eastAsia="宋体" w:cs="Times New Roman"/>
                      <w:b w:val="0"/>
                      <w:bCs w:val="0"/>
                      <w:color w:val="auto"/>
                      <w:sz w:val="21"/>
                      <w:szCs w:val="21"/>
                      <w:highlight w:val="none"/>
                      <w:lang w:val="en-US" w:eastAsia="zh-CN"/>
                    </w:rPr>
                    <w:t>暂存</w:t>
                  </w:r>
                  <w:r>
                    <w:rPr>
                      <w:rFonts w:hint="eastAsia" w:ascii="Times New Roman" w:hAnsi="Times New Roman" w:cs="Times New Roman"/>
                      <w:b w:val="0"/>
                      <w:bCs w:val="0"/>
                      <w:color w:val="auto"/>
                      <w:sz w:val="21"/>
                      <w:szCs w:val="21"/>
                      <w:highlight w:val="none"/>
                      <w:vertAlign w:val="baseline"/>
                      <w:lang w:val="en-US" w:eastAsia="zh-CN"/>
                    </w:rPr>
                    <w:t>，合规处置</w:t>
                  </w:r>
                </w:p>
              </w:tc>
              <w:tc>
                <w:tcPr>
                  <w:tcW w:w="686" w:type="pct"/>
                  <w:vMerge w:val="restart"/>
                  <w:tcBorders>
                    <w:tl2br w:val="nil"/>
                    <w:tr2bl w:val="nil"/>
                  </w:tcBorders>
                  <w:vAlign w:val="center"/>
                </w:tcPr>
                <w:p w14:paraId="1A5622A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合理处置，不排放</w:t>
                  </w:r>
                </w:p>
              </w:tc>
            </w:tr>
            <w:tr w14:paraId="7414BB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vMerge w:val="continue"/>
                  <w:tcBorders>
                    <w:tl2br w:val="nil"/>
                    <w:tr2bl w:val="nil"/>
                  </w:tcBorders>
                  <w:vAlign w:val="center"/>
                </w:tcPr>
                <w:p w14:paraId="0ABA3DD7">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10" w:type="pct"/>
                  <w:tcBorders>
                    <w:tl2br w:val="nil"/>
                    <w:tr2bl w:val="nil"/>
                  </w:tcBorders>
                  <w:vAlign w:val="center"/>
                </w:tcPr>
                <w:p w14:paraId="4B556095">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S</w:t>
                  </w:r>
                  <w:r>
                    <w:rPr>
                      <w:rFonts w:hint="eastAsia" w:ascii="Times New Roman" w:hAnsi="Times New Roman" w:cs="Times New Roman"/>
                      <w:b w:val="0"/>
                      <w:bCs w:val="0"/>
                      <w:color w:val="auto"/>
                      <w:sz w:val="21"/>
                      <w:szCs w:val="21"/>
                      <w:highlight w:val="none"/>
                      <w:u w:val="none"/>
                      <w:vertAlign w:val="baseline"/>
                      <w:lang w:val="en-US" w:eastAsia="zh-CN"/>
                    </w:rPr>
                    <w:t>2</w:t>
                  </w:r>
                </w:p>
              </w:tc>
              <w:tc>
                <w:tcPr>
                  <w:tcW w:w="767" w:type="pct"/>
                  <w:tcBorders>
                    <w:tl2br w:val="nil"/>
                    <w:tr2bl w:val="nil"/>
                  </w:tcBorders>
                  <w:vAlign w:val="center"/>
                </w:tcPr>
                <w:p w14:paraId="15AE24CE">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rPr>
                    <w:t>废</w:t>
                  </w:r>
                  <w:r>
                    <w:rPr>
                      <w:rFonts w:hint="eastAsia" w:ascii="Times New Roman" w:hAnsi="Times New Roman" w:cs="Times New Roman"/>
                      <w:b w:val="0"/>
                      <w:bCs w:val="0"/>
                      <w:color w:val="auto"/>
                      <w:sz w:val="21"/>
                      <w:szCs w:val="21"/>
                      <w:highlight w:val="none"/>
                      <w:u w:val="none"/>
                      <w:lang w:val="en-US" w:eastAsia="zh-CN"/>
                    </w:rPr>
                    <w:t>电池电芯</w:t>
                  </w:r>
                </w:p>
              </w:tc>
              <w:tc>
                <w:tcPr>
                  <w:tcW w:w="709" w:type="pct"/>
                  <w:tcBorders>
                    <w:tl2br w:val="nil"/>
                    <w:tr2bl w:val="nil"/>
                  </w:tcBorders>
                  <w:vAlign w:val="center"/>
                </w:tcPr>
                <w:p w14:paraId="7185633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测试检验</w:t>
                  </w:r>
                </w:p>
              </w:tc>
              <w:tc>
                <w:tcPr>
                  <w:tcW w:w="951" w:type="pct"/>
                  <w:tcBorders>
                    <w:tl2br w:val="nil"/>
                    <w:tr2bl w:val="nil"/>
                  </w:tcBorders>
                  <w:vAlign w:val="center"/>
                </w:tcPr>
                <w:p w14:paraId="6E2EBD8E">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电池、电芯</w:t>
                  </w:r>
                </w:p>
              </w:tc>
              <w:tc>
                <w:tcPr>
                  <w:tcW w:w="1034" w:type="pct"/>
                  <w:tcBorders>
                    <w:tl2br w:val="nil"/>
                    <w:tr2bl w:val="nil"/>
                  </w:tcBorders>
                  <w:vAlign w:val="center"/>
                </w:tcPr>
                <w:p w14:paraId="3C75ED5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ascii="Times New Roman" w:hAnsi="Times New Roman" w:cs="Times New Roman"/>
                      <w:b w:val="0"/>
                      <w:bCs w:val="0"/>
                      <w:color w:val="auto"/>
                      <w:sz w:val="21"/>
                      <w:szCs w:val="21"/>
                      <w:highlight w:val="none"/>
                      <w:vertAlign w:val="baseline"/>
                      <w:lang w:val="en-US" w:eastAsia="zh-CN"/>
                    </w:rPr>
                    <w:t>泡水桶</w:t>
                  </w:r>
                  <w:r>
                    <w:rPr>
                      <w:rFonts w:hint="default" w:ascii="Times New Roman" w:hAnsi="Times New Roman" w:eastAsia="宋体" w:cs="Times New Roman"/>
                      <w:b w:val="0"/>
                      <w:bCs w:val="0"/>
                      <w:color w:val="auto"/>
                      <w:sz w:val="21"/>
                      <w:szCs w:val="21"/>
                      <w:highlight w:val="none"/>
                      <w:vertAlign w:val="baseline"/>
                      <w:lang w:val="en-US" w:eastAsia="zh-CN"/>
                    </w:rPr>
                    <w:t>暂存</w:t>
                  </w:r>
                  <w:r>
                    <w:rPr>
                      <w:rFonts w:hint="eastAsia" w:ascii="Times New Roman" w:hAnsi="Times New Roman" w:cs="Times New Roman"/>
                      <w:b w:val="0"/>
                      <w:bCs w:val="0"/>
                      <w:color w:val="auto"/>
                      <w:sz w:val="21"/>
                      <w:szCs w:val="21"/>
                      <w:highlight w:val="none"/>
                      <w:vertAlign w:val="baseline"/>
                      <w:lang w:val="en-US" w:eastAsia="zh-CN"/>
                    </w:rPr>
                    <w:t>，作为一般固废合规处置</w:t>
                  </w:r>
                </w:p>
              </w:tc>
              <w:tc>
                <w:tcPr>
                  <w:tcW w:w="686" w:type="pct"/>
                  <w:vMerge w:val="continue"/>
                  <w:tcBorders>
                    <w:tl2br w:val="nil"/>
                    <w:tr2bl w:val="nil"/>
                  </w:tcBorders>
                  <w:vAlign w:val="center"/>
                </w:tcPr>
                <w:p w14:paraId="539E3C4A">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E69EA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vMerge w:val="continue"/>
                  <w:tcBorders>
                    <w:tl2br w:val="nil"/>
                    <w:tr2bl w:val="nil"/>
                  </w:tcBorders>
                  <w:vAlign w:val="center"/>
                </w:tcPr>
                <w:p w14:paraId="76FF5DA9">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10" w:type="pct"/>
                  <w:tcBorders>
                    <w:tl2br w:val="nil"/>
                    <w:tr2bl w:val="nil"/>
                  </w:tcBorders>
                  <w:vAlign w:val="center"/>
                </w:tcPr>
                <w:p w14:paraId="3C721C9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S</w:t>
                  </w:r>
                  <w:r>
                    <w:rPr>
                      <w:rFonts w:hint="eastAsia" w:ascii="Times New Roman" w:hAnsi="Times New Roman" w:cs="Times New Roman"/>
                      <w:b w:val="0"/>
                      <w:bCs w:val="0"/>
                      <w:color w:val="auto"/>
                      <w:sz w:val="21"/>
                      <w:szCs w:val="21"/>
                      <w:highlight w:val="none"/>
                      <w:u w:val="none"/>
                      <w:vertAlign w:val="baseline"/>
                      <w:lang w:val="en-US" w:eastAsia="zh-CN"/>
                    </w:rPr>
                    <w:t>3</w:t>
                  </w:r>
                </w:p>
              </w:tc>
              <w:tc>
                <w:tcPr>
                  <w:tcW w:w="767" w:type="pct"/>
                  <w:tcBorders>
                    <w:tl2br w:val="nil"/>
                    <w:tr2bl w:val="nil"/>
                  </w:tcBorders>
                  <w:vAlign w:val="center"/>
                </w:tcPr>
                <w:p w14:paraId="195CA39E">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lang w:val="en-US" w:eastAsia="zh-CN"/>
                    </w:rPr>
                    <w:t>泡电池废液</w:t>
                  </w:r>
                </w:p>
              </w:tc>
              <w:tc>
                <w:tcPr>
                  <w:tcW w:w="709" w:type="pct"/>
                  <w:tcBorders>
                    <w:tl2br w:val="nil"/>
                    <w:tr2bl w:val="nil"/>
                  </w:tcBorders>
                  <w:vAlign w:val="center"/>
                </w:tcPr>
                <w:p w14:paraId="0EAC1E5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测试检验</w:t>
                  </w:r>
                </w:p>
              </w:tc>
              <w:tc>
                <w:tcPr>
                  <w:tcW w:w="951" w:type="pct"/>
                  <w:tcBorders>
                    <w:tl2br w:val="nil"/>
                    <w:tr2bl w:val="nil"/>
                  </w:tcBorders>
                  <w:vAlign w:val="center"/>
                </w:tcPr>
                <w:p w14:paraId="0025845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highlight w:val="none"/>
                      <w:u w:val="none"/>
                      <w:lang w:val="en-US" w:eastAsia="zh-CN"/>
                    </w:rPr>
                    <w:t>电池废液</w:t>
                  </w:r>
                </w:p>
              </w:tc>
              <w:tc>
                <w:tcPr>
                  <w:tcW w:w="1034" w:type="pct"/>
                  <w:vMerge w:val="restart"/>
                  <w:tcBorders>
                    <w:tl2br w:val="nil"/>
                    <w:tr2bl w:val="nil"/>
                  </w:tcBorders>
                  <w:vAlign w:val="center"/>
                </w:tcPr>
                <w:p w14:paraId="6375926E">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危废暂存点贮存，合规处置</w:t>
                  </w:r>
                </w:p>
              </w:tc>
              <w:tc>
                <w:tcPr>
                  <w:tcW w:w="686" w:type="pct"/>
                  <w:vMerge w:val="continue"/>
                  <w:tcBorders>
                    <w:tl2br w:val="nil"/>
                    <w:tr2bl w:val="nil"/>
                  </w:tcBorders>
                  <w:vAlign w:val="center"/>
                </w:tcPr>
                <w:p w14:paraId="5841DDB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0B3C87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vMerge w:val="continue"/>
                  <w:tcBorders>
                    <w:tl2br w:val="nil"/>
                    <w:tr2bl w:val="nil"/>
                  </w:tcBorders>
                  <w:vAlign w:val="center"/>
                </w:tcPr>
                <w:p w14:paraId="35703B35">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10" w:type="pct"/>
                  <w:tcBorders>
                    <w:tl2br w:val="nil"/>
                    <w:tr2bl w:val="nil"/>
                  </w:tcBorders>
                  <w:vAlign w:val="center"/>
                </w:tcPr>
                <w:p w14:paraId="1AE7C4D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S4</w:t>
                  </w:r>
                </w:p>
              </w:tc>
              <w:tc>
                <w:tcPr>
                  <w:tcW w:w="767" w:type="pct"/>
                  <w:tcBorders>
                    <w:tl2br w:val="nil"/>
                    <w:tr2bl w:val="nil"/>
                  </w:tcBorders>
                  <w:vAlign w:val="center"/>
                </w:tcPr>
                <w:p w14:paraId="7DA27A3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highlight w:val="none"/>
                      <w:u w:val="none"/>
                      <w:lang w:val="en-US" w:eastAsia="zh-CN"/>
                    </w:rPr>
                  </w:pPr>
                  <w:r>
                    <w:rPr>
                      <w:rFonts w:hint="eastAsia" w:ascii="Times New Roman" w:hAnsi="Times New Roman" w:cs="Times New Roman"/>
                      <w:b w:val="0"/>
                      <w:bCs w:val="0"/>
                      <w:color w:val="auto"/>
                      <w:sz w:val="21"/>
                      <w:szCs w:val="21"/>
                      <w:highlight w:val="none"/>
                      <w:u w:val="none"/>
                      <w:lang w:val="en-US" w:eastAsia="zh-CN"/>
                    </w:rPr>
                    <w:t>消防废液</w:t>
                  </w:r>
                </w:p>
              </w:tc>
              <w:tc>
                <w:tcPr>
                  <w:tcW w:w="709" w:type="pct"/>
                  <w:tcBorders>
                    <w:tl2br w:val="nil"/>
                    <w:tr2bl w:val="nil"/>
                  </w:tcBorders>
                  <w:vAlign w:val="center"/>
                </w:tcPr>
                <w:p w14:paraId="34541298">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测试检验</w:t>
                  </w:r>
                </w:p>
              </w:tc>
              <w:tc>
                <w:tcPr>
                  <w:tcW w:w="951" w:type="pct"/>
                  <w:tcBorders>
                    <w:tl2br w:val="nil"/>
                    <w:tr2bl w:val="nil"/>
                  </w:tcBorders>
                  <w:vAlign w:val="center"/>
                </w:tcPr>
                <w:p w14:paraId="0066333A">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color w:val="auto"/>
                      <w:sz w:val="21"/>
                      <w:szCs w:val="21"/>
                      <w:highlight w:val="none"/>
                      <w:u w:val="none"/>
                      <w:lang w:val="en-US" w:eastAsia="zh-CN"/>
                    </w:rPr>
                  </w:pPr>
                  <w:r>
                    <w:rPr>
                      <w:rFonts w:hint="eastAsia" w:ascii="Times New Roman" w:hAnsi="Times New Roman" w:cs="Times New Roman"/>
                      <w:b w:val="0"/>
                      <w:bCs w:val="0"/>
                      <w:color w:val="auto"/>
                      <w:sz w:val="21"/>
                      <w:szCs w:val="21"/>
                      <w:highlight w:val="none"/>
                      <w:u w:val="none"/>
                      <w:lang w:val="en-US" w:eastAsia="zh-CN"/>
                    </w:rPr>
                    <w:t>消防废液</w:t>
                  </w:r>
                </w:p>
              </w:tc>
              <w:tc>
                <w:tcPr>
                  <w:tcW w:w="1034" w:type="pct"/>
                  <w:vMerge w:val="continue"/>
                  <w:tcBorders>
                    <w:tl2br w:val="nil"/>
                    <w:tr2bl w:val="nil"/>
                  </w:tcBorders>
                  <w:vAlign w:val="center"/>
                </w:tcPr>
                <w:p w14:paraId="67795CB1">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color w:val="auto"/>
                      <w:sz w:val="21"/>
                      <w:szCs w:val="21"/>
                      <w:vertAlign w:val="baseline"/>
                      <w:lang w:val="en-US" w:eastAsia="zh-CN"/>
                    </w:rPr>
                  </w:pPr>
                </w:p>
              </w:tc>
              <w:tc>
                <w:tcPr>
                  <w:tcW w:w="686" w:type="pct"/>
                  <w:vMerge w:val="continue"/>
                  <w:tcBorders>
                    <w:tl2br w:val="nil"/>
                    <w:tr2bl w:val="nil"/>
                  </w:tcBorders>
                  <w:vAlign w:val="center"/>
                </w:tcPr>
                <w:p w14:paraId="717C3E05">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6BB41A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vMerge w:val="continue"/>
                  <w:tcBorders>
                    <w:tl2br w:val="nil"/>
                    <w:tr2bl w:val="nil"/>
                  </w:tcBorders>
                  <w:vAlign w:val="center"/>
                </w:tcPr>
                <w:p w14:paraId="448F778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10" w:type="pct"/>
                  <w:tcBorders>
                    <w:tl2br w:val="nil"/>
                    <w:tr2bl w:val="nil"/>
                  </w:tcBorders>
                  <w:vAlign w:val="center"/>
                </w:tcPr>
                <w:p w14:paraId="1A7343F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S5</w:t>
                  </w:r>
                </w:p>
              </w:tc>
              <w:tc>
                <w:tcPr>
                  <w:tcW w:w="767" w:type="pct"/>
                  <w:tcBorders>
                    <w:tl2br w:val="nil"/>
                    <w:tr2bl w:val="nil"/>
                  </w:tcBorders>
                  <w:vAlign w:val="center"/>
                </w:tcPr>
                <w:p w14:paraId="2965EDD0">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cs="Times New Roman"/>
                      <w:b w:val="0"/>
                      <w:bCs w:val="0"/>
                      <w:color w:val="auto"/>
                      <w:sz w:val="21"/>
                      <w:szCs w:val="21"/>
                      <w:highlight w:val="none"/>
                      <w:u w:val="none"/>
                      <w:lang w:val="en-US" w:eastAsia="zh-CN"/>
                    </w:rPr>
                  </w:pPr>
                  <w:r>
                    <w:rPr>
                      <w:rFonts w:hint="eastAsia" w:ascii="Times New Roman" w:hAnsi="Times New Roman" w:cs="Times New Roman"/>
                      <w:b w:val="0"/>
                      <w:bCs w:val="0"/>
                      <w:color w:val="auto"/>
                      <w:sz w:val="21"/>
                      <w:szCs w:val="21"/>
                      <w:highlight w:val="none"/>
                      <w:u w:val="none"/>
                      <w:lang w:val="en-US" w:eastAsia="zh-CN"/>
                    </w:rPr>
                    <w:t>报废灭火器瓶</w:t>
                  </w:r>
                </w:p>
              </w:tc>
              <w:tc>
                <w:tcPr>
                  <w:tcW w:w="709" w:type="pct"/>
                  <w:tcBorders>
                    <w:tl2br w:val="nil"/>
                    <w:tr2bl w:val="nil"/>
                  </w:tcBorders>
                  <w:shd w:val="clear" w:color="auto" w:fill="auto"/>
                  <w:vAlign w:val="center"/>
                </w:tcPr>
                <w:p w14:paraId="4E92BB4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b w:val="0"/>
                      <w:bCs w:val="0"/>
                      <w:color w:val="auto"/>
                      <w:kern w:val="2"/>
                      <w:sz w:val="21"/>
                      <w:szCs w:val="21"/>
                      <w:u w:val="none"/>
                      <w:vertAlign w:val="baseline"/>
                      <w:lang w:val="en-US" w:eastAsia="zh-CN" w:bidi="ar-SA"/>
                    </w:rPr>
                  </w:pPr>
                  <w:r>
                    <w:rPr>
                      <w:rFonts w:hint="eastAsia" w:ascii="Times New Roman" w:hAnsi="Times New Roman" w:cs="Times New Roman"/>
                      <w:b w:val="0"/>
                      <w:bCs w:val="0"/>
                      <w:color w:val="auto"/>
                      <w:sz w:val="21"/>
                      <w:szCs w:val="21"/>
                      <w:u w:val="none"/>
                      <w:vertAlign w:val="baseline"/>
                      <w:lang w:val="en-US" w:eastAsia="zh-CN"/>
                    </w:rPr>
                    <w:t>测试检验</w:t>
                  </w:r>
                </w:p>
              </w:tc>
              <w:tc>
                <w:tcPr>
                  <w:tcW w:w="951" w:type="pct"/>
                  <w:tcBorders>
                    <w:tl2br w:val="nil"/>
                    <w:tr2bl w:val="nil"/>
                  </w:tcBorders>
                  <w:shd w:val="clear" w:color="auto" w:fill="auto"/>
                  <w:vAlign w:val="center"/>
                </w:tcPr>
                <w:p w14:paraId="27C0311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cs="Times New Roman"/>
                      <w:b w:val="0"/>
                      <w:bCs w:val="0"/>
                      <w:color w:val="auto"/>
                      <w:sz w:val="21"/>
                      <w:szCs w:val="21"/>
                      <w:highlight w:val="none"/>
                      <w:u w:val="none"/>
                      <w:lang w:val="en-US" w:eastAsia="zh-CN"/>
                    </w:rPr>
                    <w:t>灭火器瓶</w:t>
                  </w:r>
                </w:p>
              </w:tc>
              <w:tc>
                <w:tcPr>
                  <w:tcW w:w="1034" w:type="pct"/>
                  <w:tcBorders>
                    <w:tl2br w:val="nil"/>
                    <w:tr2bl w:val="nil"/>
                  </w:tcBorders>
                  <w:vAlign w:val="center"/>
                </w:tcPr>
                <w:p w14:paraId="4253637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委托资质单位回收</w:t>
                  </w:r>
                </w:p>
              </w:tc>
              <w:tc>
                <w:tcPr>
                  <w:tcW w:w="686" w:type="pct"/>
                  <w:vMerge w:val="continue"/>
                  <w:tcBorders>
                    <w:tl2br w:val="nil"/>
                    <w:tr2bl w:val="nil"/>
                  </w:tcBorders>
                  <w:vAlign w:val="center"/>
                </w:tcPr>
                <w:p w14:paraId="4D0D170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r w14:paraId="13BF40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9" w:type="pct"/>
                  <w:vMerge w:val="continue"/>
                  <w:tcBorders>
                    <w:tl2br w:val="nil"/>
                    <w:tr2bl w:val="nil"/>
                  </w:tcBorders>
                  <w:vAlign w:val="center"/>
                </w:tcPr>
                <w:p w14:paraId="15B036C7">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c>
                <w:tcPr>
                  <w:tcW w:w="410" w:type="pct"/>
                  <w:tcBorders>
                    <w:tl2br w:val="nil"/>
                    <w:tr2bl w:val="nil"/>
                  </w:tcBorders>
                  <w:vAlign w:val="center"/>
                </w:tcPr>
                <w:p w14:paraId="58CDE26F">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S6</w:t>
                  </w:r>
                </w:p>
              </w:tc>
              <w:tc>
                <w:tcPr>
                  <w:tcW w:w="767" w:type="pct"/>
                  <w:tcBorders>
                    <w:tl2br w:val="nil"/>
                    <w:tr2bl w:val="nil"/>
                  </w:tcBorders>
                  <w:vAlign w:val="center"/>
                </w:tcPr>
                <w:p w14:paraId="2109FEA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highlight w:val="none"/>
                      <w:u w:val="none"/>
                      <w:lang w:val="en-US" w:eastAsia="zh-CN"/>
                    </w:rPr>
                  </w:pPr>
                  <w:r>
                    <w:rPr>
                      <w:rFonts w:hint="eastAsia" w:ascii="Times New Roman" w:hAnsi="Times New Roman" w:cs="Times New Roman"/>
                      <w:b w:val="0"/>
                      <w:bCs w:val="0"/>
                      <w:color w:val="auto"/>
                      <w:sz w:val="21"/>
                      <w:szCs w:val="21"/>
                      <w:highlight w:val="none"/>
                      <w:u w:val="none"/>
                      <w:lang w:val="en-US" w:eastAsia="zh-CN"/>
                    </w:rPr>
                    <w:t>生活垃圾</w:t>
                  </w:r>
                </w:p>
              </w:tc>
              <w:tc>
                <w:tcPr>
                  <w:tcW w:w="709" w:type="pct"/>
                  <w:tcBorders>
                    <w:tl2br w:val="nil"/>
                    <w:tr2bl w:val="nil"/>
                  </w:tcBorders>
                  <w:vAlign w:val="center"/>
                </w:tcPr>
                <w:p w14:paraId="0B8D15C4">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u w:val="none"/>
                      <w:vertAlign w:val="baseline"/>
                      <w:lang w:val="en-US" w:eastAsia="zh-CN"/>
                    </w:rPr>
                  </w:pPr>
                  <w:r>
                    <w:rPr>
                      <w:rFonts w:hint="eastAsia" w:ascii="Times New Roman" w:hAnsi="Times New Roman" w:cs="Times New Roman"/>
                      <w:b w:val="0"/>
                      <w:bCs w:val="0"/>
                      <w:color w:val="auto"/>
                      <w:sz w:val="21"/>
                      <w:szCs w:val="21"/>
                      <w:u w:val="none"/>
                      <w:vertAlign w:val="baseline"/>
                      <w:lang w:val="en-US" w:eastAsia="zh-CN"/>
                    </w:rPr>
                    <w:t>职工办公</w:t>
                  </w:r>
                </w:p>
              </w:tc>
              <w:tc>
                <w:tcPr>
                  <w:tcW w:w="951" w:type="pct"/>
                  <w:tcBorders>
                    <w:tl2br w:val="nil"/>
                    <w:tr2bl w:val="nil"/>
                  </w:tcBorders>
                  <w:vAlign w:val="center"/>
                </w:tcPr>
                <w:p w14:paraId="3C69B14F">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cs="Times New Roman"/>
                      <w:b w:val="0"/>
                      <w:bCs w:val="0"/>
                      <w:color w:val="auto"/>
                      <w:sz w:val="21"/>
                      <w:szCs w:val="21"/>
                      <w:highlight w:val="none"/>
                      <w:u w:val="none"/>
                      <w:lang w:val="en-US" w:eastAsia="zh-CN"/>
                    </w:rPr>
                  </w:pPr>
                  <w:r>
                    <w:rPr>
                      <w:rFonts w:hint="eastAsia" w:ascii="Times New Roman" w:hAnsi="Times New Roman" w:cs="Times New Roman"/>
                      <w:b w:val="0"/>
                      <w:bCs w:val="0"/>
                      <w:color w:val="auto"/>
                      <w:sz w:val="21"/>
                      <w:szCs w:val="21"/>
                      <w:highlight w:val="none"/>
                      <w:u w:val="none"/>
                      <w:lang w:val="en-US" w:eastAsia="zh-CN"/>
                    </w:rPr>
                    <w:t>生活垃圾</w:t>
                  </w:r>
                </w:p>
              </w:tc>
              <w:tc>
                <w:tcPr>
                  <w:tcW w:w="1034" w:type="pct"/>
                  <w:tcBorders>
                    <w:tl2br w:val="nil"/>
                    <w:tr2bl w:val="nil"/>
                  </w:tcBorders>
                  <w:vAlign w:val="center"/>
                </w:tcPr>
                <w:p w14:paraId="22DE310F">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环卫清运</w:t>
                  </w:r>
                </w:p>
              </w:tc>
              <w:tc>
                <w:tcPr>
                  <w:tcW w:w="686" w:type="pct"/>
                  <w:vMerge w:val="continue"/>
                  <w:tcBorders>
                    <w:tl2br w:val="nil"/>
                    <w:tr2bl w:val="nil"/>
                  </w:tcBorders>
                  <w:vAlign w:val="center"/>
                </w:tcPr>
                <w:p w14:paraId="309D319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p>
              </w:tc>
            </w:tr>
          </w:tbl>
          <w:p w14:paraId="463D5DBF">
            <w:pPr>
              <w:keepNext w:val="0"/>
              <w:keepLines w:val="0"/>
              <w:pageBreakBefore w:val="0"/>
              <w:widowControl w:val="0"/>
              <w:kinsoku/>
              <w:wordWrap/>
              <w:overflowPunct/>
              <w:topLinePunct w:val="0"/>
              <w:autoSpaceDE/>
              <w:autoSpaceDN/>
              <w:bidi w:val="0"/>
              <w:adjustRightInd/>
              <w:snapToGrid/>
              <w:ind w:firstLine="0" w:firstLineChars="0"/>
              <w:textAlignment w:val="auto"/>
              <w:rPr>
                <w:color w:val="auto"/>
                <w:vertAlign w:val="baseline"/>
              </w:rPr>
            </w:pPr>
          </w:p>
        </w:tc>
      </w:tr>
      <w:tr w14:paraId="47E5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 w:type="pct"/>
            <w:vAlign w:val="center"/>
          </w:tcPr>
          <w:p w14:paraId="594ED74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color w:val="auto"/>
              </w:rPr>
            </w:pPr>
            <w:r>
              <w:rPr>
                <w:rFonts w:ascii="Times New Roman" w:hAnsi="Times New Roman"/>
                <w:b/>
                <w:bCs/>
                <w:color w:val="auto"/>
                <w:szCs w:val="24"/>
                <w:highlight w:val="none"/>
              </w:rPr>
              <w:t>与项目有关的原有环境污染问题</w:t>
            </w:r>
          </w:p>
        </w:tc>
        <w:tc>
          <w:tcPr>
            <w:tcW w:w="4579" w:type="pct"/>
          </w:tcPr>
          <w:p w14:paraId="6A6E252C">
            <w:pPr>
              <w:pStyle w:val="8"/>
              <w:bidi w:val="0"/>
              <w:rPr>
                <w:rFonts w:hint="eastAsia"/>
                <w:color w:val="auto"/>
              </w:rPr>
            </w:pPr>
            <w:r>
              <w:rPr>
                <w:rFonts w:hint="eastAsia"/>
                <w:color w:val="auto"/>
                <w:highlight w:val="none"/>
              </w:rPr>
              <w:t>本项目</w:t>
            </w:r>
            <w:r>
              <w:rPr>
                <w:rFonts w:hint="eastAsia"/>
                <w:color w:val="auto"/>
                <w:highlight w:val="none"/>
                <w:lang w:val="en-US" w:eastAsia="zh-CN"/>
              </w:rPr>
              <w:t>为</w:t>
            </w:r>
            <w:r>
              <w:rPr>
                <w:rFonts w:hint="eastAsia"/>
                <w:color w:val="auto"/>
                <w:highlight w:val="none"/>
              </w:rPr>
              <w:t>新建项目，租赁</w:t>
            </w:r>
            <w:r>
              <w:rPr>
                <w:rFonts w:hint="eastAsia"/>
                <w:color w:val="auto"/>
                <w:highlight w:val="none"/>
                <w:lang w:val="en-US" w:eastAsia="zh-CN"/>
              </w:rPr>
              <w:t>厂房</w:t>
            </w:r>
            <w:r>
              <w:rPr>
                <w:rFonts w:hint="eastAsia"/>
                <w:color w:val="auto"/>
                <w:highlight w:val="none"/>
              </w:rPr>
              <w:t>一直处于闲置状态，因此，不存在原有污染情况及主要环境问</w:t>
            </w:r>
            <w:r>
              <w:rPr>
                <w:rFonts w:hint="eastAsia"/>
                <w:color w:val="auto"/>
              </w:rPr>
              <w:t>题。</w:t>
            </w:r>
          </w:p>
          <w:p w14:paraId="636387AF">
            <w:pPr>
              <w:rPr>
                <w:rFonts w:hint="eastAsia"/>
                <w:color w:val="auto"/>
                <w:lang w:val="en-US" w:eastAsia="zh-CN"/>
              </w:rPr>
            </w:pPr>
          </w:p>
        </w:tc>
      </w:tr>
    </w:tbl>
    <w:p w14:paraId="167823BE">
      <w:pPr>
        <w:rPr>
          <w:color w:val="auto"/>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5DB2C84">
      <w:pPr>
        <w:pStyle w:val="29"/>
        <w:spacing w:before="0" w:beforeAutospacing="0" w:after="0" w:afterAutospacing="0" w:line="360" w:lineRule="auto"/>
        <w:ind w:firstLine="0" w:firstLineChars="0"/>
        <w:jc w:val="center"/>
        <w:outlineLvl w:val="0"/>
        <w:rPr>
          <w:rFonts w:ascii="Times New Roman" w:hAnsi="Times New Roman" w:eastAsia="黑体"/>
          <w:snapToGrid w:val="0"/>
          <w:color w:val="auto"/>
          <w:sz w:val="30"/>
          <w:szCs w:val="30"/>
          <w:highlight w:val="none"/>
        </w:rPr>
      </w:pPr>
      <w:bookmarkStart w:id="99" w:name="_Toc19152"/>
      <w:r>
        <w:rPr>
          <w:rFonts w:ascii="Times New Roman" w:hAnsi="Times New Roman" w:eastAsia="黑体"/>
          <w:snapToGrid w:val="0"/>
          <w:color w:val="auto"/>
          <w:sz w:val="30"/>
          <w:szCs w:val="30"/>
          <w:highlight w:val="none"/>
        </w:rPr>
        <w:t>三、区域环境质量现状、环境保护目标及评价标准</w:t>
      </w:r>
      <w:bookmarkEnd w:id="99"/>
      <w:bookmarkStart w:id="100" w:name="pindex889"/>
      <w:bookmarkEnd w:id="100"/>
    </w:p>
    <w:tbl>
      <w:tblPr>
        <w:tblStyle w:val="33"/>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609"/>
      </w:tblGrid>
      <w:tr w14:paraId="35B99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dxa"/>
            <w:vAlign w:val="center"/>
          </w:tcPr>
          <w:p w14:paraId="64477854">
            <w:pPr>
              <w:adjustRightInd w:val="0"/>
              <w:snapToGrid w:val="0"/>
              <w:spacing w:line="240" w:lineRule="auto"/>
              <w:ind w:firstLine="0" w:firstLineChars="0"/>
              <w:jc w:val="center"/>
              <w:rPr>
                <w:b/>
                <w:bCs/>
                <w:color w:val="auto"/>
                <w:kern w:val="0"/>
                <w:highlight w:val="none"/>
              </w:rPr>
            </w:pPr>
            <w:r>
              <w:rPr>
                <w:b/>
                <w:bCs/>
                <w:color w:val="auto"/>
                <w:kern w:val="0"/>
                <w:highlight w:val="none"/>
              </w:rPr>
              <w:t>区域</w:t>
            </w:r>
          </w:p>
          <w:p w14:paraId="24E01296">
            <w:pPr>
              <w:adjustRightInd w:val="0"/>
              <w:snapToGrid w:val="0"/>
              <w:spacing w:line="240" w:lineRule="auto"/>
              <w:ind w:firstLine="0" w:firstLineChars="0"/>
              <w:jc w:val="center"/>
              <w:rPr>
                <w:b/>
                <w:bCs/>
                <w:color w:val="auto"/>
                <w:kern w:val="0"/>
                <w:highlight w:val="none"/>
              </w:rPr>
            </w:pPr>
            <w:r>
              <w:rPr>
                <w:b/>
                <w:bCs/>
                <w:color w:val="auto"/>
                <w:kern w:val="0"/>
                <w:highlight w:val="none"/>
              </w:rPr>
              <w:t>环境</w:t>
            </w:r>
          </w:p>
          <w:p w14:paraId="4335BB0A">
            <w:pPr>
              <w:adjustRightInd w:val="0"/>
              <w:snapToGrid w:val="0"/>
              <w:spacing w:line="240" w:lineRule="auto"/>
              <w:ind w:firstLine="0" w:firstLineChars="0"/>
              <w:jc w:val="center"/>
              <w:rPr>
                <w:b/>
                <w:bCs/>
                <w:color w:val="auto"/>
                <w:kern w:val="0"/>
                <w:highlight w:val="none"/>
              </w:rPr>
            </w:pPr>
            <w:r>
              <w:rPr>
                <w:b/>
                <w:bCs/>
                <w:color w:val="auto"/>
                <w:kern w:val="0"/>
                <w:highlight w:val="none"/>
              </w:rPr>
              <w:t>质量</w:t>
            </w:r>
          </w:p>
          <w:p w14:paraId="7F555176">
            <w:pPr>
              <w:adjustRightInd w:val="0"/>
              <w:snapToGrid w:val="0"/>
              <w:spacing w:line="240" w:lineRule="auto"/>
              <w:ind w:firstLine="0" w:firstLineChars="0"/>
              <w:jc w:val="center"/>
              <w:rPr>
                <w:b/>
                <w:bCs/>
                <w:color w:val="auto"/>
                <w:kern w:val="0"/>
                <w:highlight w:val="none"/>
              </w:rPr>
            </w:pPr>
            <w:r>
              <w:rPr>
                <w:b/>
                <w:bCs/>
                <w:color w:val="auto"/>
                <w:kern w:val="0"/>
                <w:highlight w:val="none"/>
              </w:rPr>
              <w:t>现状</w:t>
            </w:r>
          </w:p>
        </w:tc>
        <w:tc>
          <w:tcPr>
            <w:tcW w:w="8609" w:type="dxa"/>
            <w:vAlign w:val="center"/>
          </w:tcPr>
          <w:p w14:paraId="07230C1D">
            <w:pPr>
              <w:ind w:firstLine="482"/>
              <w:rPr>
                <w:b/>
                <w:bCs/>
                <w:color w:val="auto"/>
                <w:highlight w:val="none"/>
              </w:rPr>
            </w:pPr>
            <w:bookmarkStart w:id="101" w:name="_Toc290294172"/>
            <w:bookmarkStart w:id="102" w:name="_Toc406300007"/>
            <w:bookmarkStart w:id="103" w:name="_Toc289849777"/>
            <w:bookmarkStart w:id="104" w:name="_Toc256153126"/>
            <w:bookmarkStart w:id="105" w:name="_Toc283219813"/>
            <w:bookmarkStart w:id="106" w:name="_Toc256153127"/>
            <w:r>
              <w:rPr>
                <w:rFonts w:hint="eastAsia"/>
                <w:b/>
                <w:bCs/>
                <w:color w:val="auto"/>
                <w:highlight w:val="none"/>
                <w:lang w:eastAsia="zh-CN"/>
              </w:rPr>
              <w:t>1.</w:t>
            </w:r>
            <w:r>
              <w:rPr>
                <w:b/>
                <w:bCs/>
                <w:color w:val="auto"/>
                <w:highlight w:val="none"/>
              </w:rPr>
              <w:t>大气环境质量现状</w:t>
            </w:r>
            <w:bookmarkEnd w:id="101"/>
            <w:bookmarkEnd w:id="102"/>
            <w:bookmarkEnd w:id="103"/>
            <w:bookmarkEnd w:id="104"/>
            <w:bookmarkEnd w:id="105"/>
          </w:p>
          <w:bookmarkEnd w:id="106"/>
          <w:p w14:paraId="66946BE8">
            <w:pPr>
              <w:ind w:firstLine="482"/>
              <w:rPr>
                <w:b/>
                <w:bCs/>
                <w:color w:val="auto"/>
                <w:highlight w:val="none"/>
              </w:rPr>
            </w:pPr>
            <w:bookmarkStart w:id="107" w:name="_Hlk43559175"/>
            <w:r>
              <w:rPr>
                <w:b/>
                <w:bCs/>
                <w:color w:val="auto"/>
                <w:highlight w:val="none"/>
              </w:rPr>
              <w:t>（1）基本污染物</w:t>
            </w:r>
          </w:p>
          <w:bookmarkEnd w:id="107"/>
          <w:p w14:paraId="17AC571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Autospacing="0" w:line="440" w:lineRule="exact"/>
              <w:ind w:left="0" w:leftChars="0" w:right="0" w:firstLine="480" w:firstLineChars="200"/>
              <w:textAlignment w:val="auto"/>
              <w:rPr>
                <w:rFonts w:hint="default"/>
                <w:color w:val="auto"/>
                <w:highlight w:val="none"/>
              </w:rPr>
            </w:pPr>
            <w:r>
              <w:rPr>
                <w:rFonts w:hint="default" w:ascii="Times New Roman" w:hAnsi="Times New Roman" w:eastAsia="宋体" w:cs="Times New Roman"/>
                <w:color w:val="auto"/>
                <w:kern w:val="0"/>
                <w:sz w:val="24"/>
                <w:szCs w:val="20"/>
                <w:highlight w:val="none"/>
                <w:lang w:val="en-US" w:eastAsia="zh-CN" w:bidi="ar-SA"/>
              </w:rPr>
              <w:t>建设项目所在地环境空气质量功能区划为二类，</w:t>
            </w:r>
            <w:r>
              <w:rPr>
                <w:rFonts w:hint="default"/>
                <w:color w:val="auto"/>
                <w:highlight w:val="none"/>
              </w:rPr>
              <w:t>根据《</w:t>
            </w:r>
            <w:r>
              <w:rPr>
                <w:rFonts w:hint="eastAsia"/>
                <w:color w:val="auto"/>
                <w:highlight w:val="none"/>
                <w:lang w:eastAsia="zh-CN"/>
              </w:rPr>
              <w:t>202</w:t>
            </w:r>
            <w:r>
              <w:rPr>
                <w:rFonts w:hint="eastAsia"/>
                <w:color w:val="auto"/>
                <w:highlight w:val="none"/>
                <w:lang w:val="en-US" w:eastAsia="zh-CN"/>
              </w:rPr>
              <w:t>5</w:t>
            </w:r>
            <w:r>
              <w:rPr>
                <w:rFonts w:hint="eastAsia"/>
                <w:color w:val="auto"/>
                <w:highlight w:val="none"/>
                <w:lang w:eastAsia="zh-CN"/>
              </w:rPr>
              <w:t>年南京市生态环境状况公报</w:t>
            </w:r>
            <w:r>
              <w:rPr>
                <w:rFonts w:hint="default"/>
                <w:color w:val="auto"/>
                <w:highlight w:val="none"/>
              </w:rPr>
              <w:t>》，</w:t>
            </w:r>
            <w:r>
              <w:rPr>
                <w:rFonts w:hint="default"/>
                <w:color w:val="auto"/>
                <w:highlight w:val="none"/>
                <w:lang w:val="en-US" w:eastAsia="zh-CN"/>
              </w:rPr>
              <w:t>全市环境空气质量达到二级标准的天数为3</w:t>
            </w:r>
            <w:r>
              <w:rPr>
                <w:rFonts w:hint="eastAsia"/>
                <w:color w:val="auto"/>
                <w:highlight w:val="none"/>
                <w:lang w:val="en-US" w:eastAsia="zh-CN"/>
              </w:rPr>
              <w:t>19</w:t>
            </w:r>
            <w:r>
              <w:rPr>
                <w:rFonts w:hint="default"/>
                <w:color w:val="auto"/>
                <w:highlight w:val="none"/>
                <w:lang w:val="en-US" w:eastAsia="zh-CN"/>
              </w:rPr>
              <w:t>天，同比增加5天，达标率为8</w:t>
            </w:r>
            <w:r>
              <w:rPr>
                <w:rFonts w:hint="eastAsia"/>
                <w:color w:val="auto"/>
                <w:highlight w:val="none"/>
                <w:lang w:val="en-US" w:eastAsia="zh-CN"/>
              </w:rPr>
              <w:t>7.4</w:t>
            </w:r>
            <w:r>
              <w:rPr>
                <w:rFonts w:hint="default"/>
                <w:color w:val="auto"/>
                <w:highlight w:val="none"/>
                <w:lang w:val="en-US" w:eastAsia="zh-CN"/>
              </w:rPr>
              <w:t>%，同比上升</w:t>
            </w:r>
            <w:r>
              <w:rPr>
                <w:rFonts w:hint="eastAsia"/>
                <w:color w:val="auto"/>
                <w:highlight w:val="none"/>
                <w:lang w:val="en-US" w:eastAsia="zh-CN"/>
              </w:rPr>
              <w:t>1.6</w:t>
            </w:r>
            <w:r>
              <w:rPr>
                <w:rFonts w:hint="default"/>
                <w:color w:val="auto"/>
                <w:highlight w:val="none"/>
                <w:lang w:val="en-US" w:eastAsia="zh-CN"/>
              </w:rPr>
              <w:t>个百分点。其中，达到一级标准天数为11</w:t>
            </w:r>
            <w:r>
              <w:rPr>
                <w:rFonts w:hint="eastAsia"/>
                <w:color w:val="auto"/>
                <w:highlight w:val="none"/>
                <w:lang w:val="en-US" w:eastAsia="zh-CN"/>
              </w:rPr>
              <w:t>4</w:t>
            </w:r>
            <w:r>
              <w:rPr>
                <w:rFonts w:hint="default"/>
                <w:color w:val="auto"/>
                <w:highlight w:val="none"/>
                <w:lang w:val="en-US" w:eastAsia="zh-CN"/>
              </w:rPr>
              <w:t>天，同比增加</w:t>
            </w:r>
            <w:r>
              <w:rPr>
                <w:rFonts w:hint="eastAsia"/>
                <w:color w:val="auto"/>
                <w:highlight w:val="none"/>
                <w:lang w:val="en-US" w:eastAsia="zh-CN"/>
              </w:rPr>
              <w:t>2</w:t>
            </w:r>
            <w:r>
              <w:rPr>
                <w:rFonts w:hint="default"/>
                <w:color w:val="auto"/>
                <w:highlight w:val="none"/>
                <w:lang w:val="en-US" w:eastAsia="zh-CN"/>
              </w:rPr>
              <w:t>天；未达到二级标准的天数为</w:t>
            </w:r>
            <w:r>
              <w:rPr>
                <w:rFonts w:hint="eastAsia"/>
                <w:color w:val="auto"/>
                <w:highlight w:val="none"/>
                <w:lang w:val="en-US" w:eastAsia="zh-CN"/>
              </w:rPr>
              <w:t>46</w:t>
            </w:r>
            <w:r>
              <w:rPr>
                <w:rFonts w:hint="default"/>
                <w:color w:val="auto"/>
                <w:highlight w:val="none"/>
                <w:lang w:val="en-US" w:eastAsia="zh-CN"/>
              </w:rPr>
              <w:t>天，主要污染物为O</w:t>
            </w:r>
            <w:r>
              <w:rPr>
                <w:rFonts w:hint="default"/>
                <w:color w:val="auto"/>
                <w:highlight w:val="none"/>
                <w:vertAlign w:val="subscript"/>
                <w:lang w:val="en-US" w:eastAsia="zh-CN"/>
              </w:rPr>
              <w:t>3</w:t>
            </w:r>
            <w:r>
              <w:rPr>
                <w:rFonts w:hint="default"/>
                <w:color w:val="auto"/>
                <w:highlight w:val="none"/>
                <w:lang w:val="en-US" w:eastAsia="zh-CN"/>
              </w:rPr>
              <w:t>和PM</w:t>
            </w:r>
            <w:r>
              <w:rPr>
                <w:rFonts w:hint="default"/>
                <w:color w:val="auto"/>
                <w:highlight w:val="none"/>
                <w:vertAlign w:val="subscript"/>
                <w:lang w:val="en-US" w:eastAsia="zh-CN"/>
              </w:rPr>
              <w:t>2.5</w:t>
            </w:r>
            <w:r>
              <w:rPr>
                <w:rFonts w:hint="default"/>
                <w:color w:val="auto"/>
                <w:highlight w:val="none"/>
                <w:lang w:val="en-US" w:eastAsia="zh-CN"/>
              </w:rPr>
              <w:t>。各项污染物指标监测结果：PM</w:t>
            </w:r>
            <w:r>
              <w:rPr>
                <w:rFonts w:hint="default"/>
                <w:color w:val="auto"/>
                <w:highlight w:val="none"/>
                <w:vertAlign w:val="subscript"/>
                <w:lang w:val="en-US" w:eastAsia="zh-CN"/>
              </w:rPr>
              <w:t>2.5</w:t>
            </w:r>
            <w:r>
              <w:rPr>
                <w:rFonts w:hint="default"/>
                <w:color w:val="auto"/>
                <w:highlight w:val="none"/>
                <w:lang w:val="en-US" w:eastAsia="zh-CN"/>
              </w:rPr>
              <w:t>年均值为</w:t>
            </w:r>
            <w:r>
              <w:rPr>
                <w:rFonts w:hint="eastAsia"/>
                <w:color w:val="auto"/>
                <w:highlight w:val="none"/>
                <w:lang w:val="en-US" w:eastAsia="zh-CN"/>
              </w:rPr>
              <w:t>27.1</w:t>
            </w:r>
            <w:r>
              <w:rPr>
                <w:rFonts w:hint="default"/>
                <w:color w:val="auto"/>
                <w:highlight w:val="none"/>
                <w:lang w:val="en-US" w:eastAsia="zh-CN"/>
              </w:rPr>
              <w:t>μg/m</w:t>
            </w:r>
            <w:r>
              <w:rPr>
                <w:rFonts w:hint="default"/>
                <w:color w:val="auto"/>
                <w:highlight w:val="none"/>
                <w:vertAlign w:val="superscript"/>
                <w:lang w:val="en-US" w:eastAsia="zh-CN"/>
              </w:rPr>
              <w:t>3</w:t>
            </w:r>
            <w:r>
              <w:rPr>
                <w:rFonts w:hint="default"/>
                <w:color w:val="auto"/>
                <w:highlight w:val="none"/>
                <w:lang w:val="en-US" w:eastAsia="zh-CN"/>
              </w:rPr>
              <w:t>，达标，同比下降</w:t>
            </w:r>
            <w:r>
              <w:rPr>
                <w:rFonts w:hint="eastAsia"/>
                <w:color w:val="auto"/>
                <w:highlight w:val="none"/>
                <w:lang w:val="en-US" w:eastAsia="zh-CN"/>
              </w:rPr>
              <w:t>4.2</w:t>
            </w:r>
            <w:r>
              <w:rPr>
                <w:rFonts w:hint="default"/>
                <w:color w:val="auto"/>
                <w:highlight w:val="none"/>
                <w:lang w:val="en-US" w:eastAsia="zh-CN"/>
              </w:rPr>
              <w:t>%；PM</w:t>
            </w:r>
            <w:r>
              <w:rPr>
                <w:rFonts w:hint="default"/>
                <w:color w:val="auto"/>
                <w:highlight w:val="none"/>
                <w:vertAlign w:val="subscript"/>
                <w:lang w:val="en-US" w:eastAsia="zh-CN"/>
              </w:rPr>
              <w:t>10</w:t>
            </w:r>
            <w:r>
              <w:rPr>
                <w:rFonts w:hint="default"/>
                <w:color w:val="auto"/>
                <w:highlight w:val="none"/>
                <w:lang w:val="en-US" w:eastAsia="zh-CN"/>
              </w:rPr>
              <w:t>年均值为4</w:t>
            </w:r>
            <w:r>
              <w:rPr>
                <w:rFonts w:hint="eastAsia"/>
                <w:color w:val="auto"/>
                <w:highlight w:val="none"/>
                <w:lang w:val="en-US" w:eastAsia="zh-CN"/>
              </w:rPr>
              <w:t>7</w:t>
            </w:r>
            <w:r>
              <w:rPr>
                <w:rFonts w:hint="default"/>
                <w:color w:val="auto"/>
                <w:highlight w:val="none"/>
                <w:lang w:val="en-US" w:eastAsia="zh-CN"/>
              </w:rPr>
              <w:t>μg/m</w:t>
            </w:r>
            <w:r>
              <w:rPr>
                <w:rFonts w:hint="default"/>
                <w:color w:val="auto"/>
                <w:highlight w:val="none"/>
                <w:vertAlign w:val="superscript"/>
                <w:lang w:val="en-US" w:eastAsia="zh-CN"/>
              </w:rPr>
              <w:t>3</w:t>
            </w:r>
            <w:r>
              <w:rPr>
                <w:rFonts w:hint="default"/>
                <w:color w:val="auto"/>
                <w:highlight w:val="none"/>
                <w:lang w:val="en-US" w:eastAsia="zh-CN"/>
              </w:rPr>
              <w:t>，达标，同比</w:t>
            </w:r>
            <w:r>
              <w:rPr>
                <w:rFonts w:hint="eastAsia"/>
                <w:color w:val="auto"/>
                <w:highlight w:val="none"/>
                <w:lang w:val="en-US" w:eastAsia="zh-CN"/>
              </w:rPr>
              <w:t>上升2.2</w:t>
            </w:r>
            <w:r>
              <w:rPr>
                <w:rFonts w:hint="default"/>
                <w:color w:val="auto"/>
                <w:highlight w:val="none"/>
                <w:lang w:val="en-US" w:eastAsia="zh-CN"/>
              </w:rPr>
              <w:t>%；NO</w:t>
            </w:r>
            <w:r>
              <w:rPr>
                <w:rFonts w:hint="default"/>
                <w:color w:val="auto"/>
                <w:highlight w:val="none"/>
                <w:vertAlign w:val="subscript"/>
                <w:lang w:val="en-US" w:eastAsia="zh-CN"/>
              </w:rPr>
              <w:t>2</w:t>
            </w:r>
            <w:r>
              <w:rPr>
                <w:rFonts w:hint="default"/>
                <w:color w:val="auto"/>
                <w:highlight w:val="none"/>
                <w:lang w:val="en-US" w:eastAsia="zh-CN"/>
              </w:rPr>
              <w:t>年均值为2</w:t>
            </w:r>
            <w:r>
              <w:rPr>
                <w:rFonts w:hint="eastAsia"/>
                <w:color w:val="auto"/>
                <w:highlight w:val="none"/>
                <w:lang w:val="en-US" w:eastAsia="zh-CN"/>
              </w:rPr>
              <w:t>3</w:t>
            </w:r>
            <w:r>
              <w:rPr>
                <w:rFonts w:hint="default"/>
                <w:color w:val="auto"/>
                <w:highlight w:val="none"/>
                <w:lang w:val="en-US" w:eastAsia="zh-CN"/>
              </w:rPr>
              <w:t>μg/m</w:t>
            </w:r>
            <w:r>
              <w:rPr>
                <w:rFonts w:hint="default"/>
                <w:color w:val="auto"/>
                <w:highlight w:val="none"/>
                <w:vertAlign w:val="superscript"/>
                <w:lang w:val="en-US" w:eastAsia="zh-CN"/>
              </w:rPr>
              <w:t>3</w:t>
            </w:r>
            <w:r>
              <w:rPr>
                <w:rFonts w:hint="default"/>
                <w:color w:val="auto"/>
                <w:highlight w:val="none"/>
                <w:lang w:val="en-US" w:eastAsia="zh-CN"/>
              </w:rPr>
              <w:t>，达标，同比下降</w:t>
            </w:r>
            <w:r>
              <w:rPr>
                <w:rFonts w:hint="eastAsia"/>
                <w:color w:val="auto"/>
                <w:highlight w:val="none"/>
                <w:lang w:val="en-US" w:eastAsia="zh-CN"/>
              </w:rPr>
              <w:t>4.2</w:t>
            </w:r>
            <w:r>
              <w:rPr>
                <w:rFonts w:hint="default"/>
                <w:color w:val="auto"/>
                <w:highlight w:val="none"/>
                <w:lang w:val="en-US" w:eastAsia="zh-CN"/>
              </w:rPr>
              <w:t>%；SO</w:t>
            </w:r>
            <w:r>
              <w:rPr>
                <w:rFonts w:hint="default"/>
                <w:color w:val="auto"/>
                <w:highlight w:val="none"/>
                <w:vertAlign w:val="subscript"/>
                <w:lang w:val="en-US" w:eastAsia="zh-CN"/>
              </w:rPr>
              <w:t>2</w:t>
            </w:r>
            <w:r>
              <w:rPr>
                <w:rFonts w:hint="default"/>
                <w:color w:val="auto"/>
                <w:highlight w:val="none"/>
                <w:lang w:val="en-US" w:eastAsia="zh-CN"/>
              </w:rPr>
              <w:t>年均值为6μg/m³，达标，同比持平；CO日均浓度第95百分位数为0.9mg/m³，达标，同比持平；O</w:t>
            </w:r>
            <w:r>
              <w:rPr>
                <w:rFonts w:hint="default"/>
                <w:color w:val="auto"/>
                <w:highlight w:val="none"/>
                <w:vertAlign w:val="subscript"/>
                <w:lang w:val="en-US" w:eastAsia="zh-CN"/>
              </w:rPr>
              <w:t>3</w:t>
            </w:r>
            <w:r>
              <w:rPr>
                <w:rFonts w:hint="default"/>
                <w:color w:val="auto"/>
                <w:highlight w:val="none"/>
                <w:lang w:val="en-US" w:eastAsia="zh-CN"/>
              </w:rPr>
              <w:t>日最大8小时浓度第90百分位数</w:t>
            </w:r>
            <w:r>
              <w:rPr>
                <w:rFonts w:hint="eastAsia"/>
                <w:color w:val="auto"/>
                <w:highlight w:val="none"/>
                <w:lang w:val="en-US" w:eastAsia="zh-CN"/>
              </w:rPr>
              <w:t>为159</w:t>
            </w:r>
            <w:r>
              <w:rPr>
                <w:rFonts w:hint="default"/>
                <w:color w:val="auto"/>
                <w:highlight w:val="none"/>
                <w:lang w:val="en-US" w:eastAsia="zh-CN"/>
              </w:rPr>
              <w:t>μg/m</w:t>
            </w:r>
            <w:r>
              <w:rPr>
                <w:rFonts w:hint="default"/>
                <w:color w:val="auto"/>
                <w:highlight w:val="none"/>
                <w:vertAlign w:val="superscript"/>
                <w:lang w:val="en-US" w:eastAsia="zh-CN"/>
              </w:rPr>
              <w:t>3</w:t>
            </w:r>
            <w:r>
              <w:rPr>
                <w:rFonts w:hint="default"/>
                <w:color w:val="auto"/>
                <w:highlight w:val="none"/>
                <w:lang w:val="en-US" w:eastAsia="zh-CN"/>
              </w:rPr>
              <w:t>，</w:t>
            </w:r>
            <w:r>
              <w:rPr>
                <w:rFonts w:hint="eastAsia"/>
                <w:color w:val="auto"/>
                <w:highlight w:val="none"/>
                <w:lang w:val="en-US" w:eastAsia="zh-CN"/>
              </w:rPr>
              <w:t>达标</w:t>
            </w:r>
            <w:r>
              <w:rPr>
                <w:rFonts w:hint="default"/>
                <w:color w:val="auto"/>
                <w:highlight w:val="none"/>
                <w:lang w:val="en-US" w:eastAsia="zh-CN"/>
              </w:rPr>
              <w:t>，同比下降</w:t>
            </w:r>
            <w:r>
              <w:rPr>
                <w:rFonts w:hint="eastAsia"/>
                <w:color w:val="auto"/>
                <w:highlight w:val="none"/>
                <w:lang w:val="en-US" w:eastAsia="zh-CN"/>
              </w:rPr>
              <w:t>1.9</w:t>
            </w:r>
            <w:r>
              <w:rPr>
                <w:rFonts w:hint="default"/>
                <w:color w:val="auto"/>
                <w:highlight w:val="none"/>
                <w:lang w:val="en-US" w:eastAsia="zh-CN"/>
              </w:rPr>
              <w:t>%，超标天数3</w:t>
            </w:r>
            <w:r>
              <w:rPr>
                <w:rFonts w:hint="eastAsia"/>
                <w:color w:val="auto"/>
                <w:highlight w:val="none"/>
                <w:lang w:val="en-US" w:eastAsia="zh-CN"/>
              </w:rPr>
              <w:t>2</w:t>
            </w:r>
            <w:r>
              <w:rPr>
                <w:rFonts w:hint="default"/>
                <w:color w:val="auto"/>
                <w:highlight w:val="none"/>
                <w:lang w:val="en-US" w:eastAsia="zh-CN"/>
              </w:rPr>
              <w:t>天，同比减少</w:t>
            </w:r>
            <w:r>
              <w:rPr>
                <w:rFonts w:hint="eastAsia"/>
                <w:color w:val="auto"/>
                <w:highlight w:val="none"/>
                <w:lang w:val="en-US" w:eastAsia="zh-CN"/>
              </w:rPr>
              <w:t>6</w:t>
            </w:r>
            <w:r>
              <w:rPr>
                <w:rFonts w:hint="default"/>
                <w:color w:val="auto"/>
                <w:highlight w:val="none"/>
                <w:lang w:val="en-US" w:eastAsia="zh-CN"/>
              </w:rPr>
              <w:t>天。</w:t>
            </w:r>
          </w:p>
          <w:p w14:paraId="271CAF4E">
            <w:pPr>
              <w:pStyle w:val="51"/>
              <w:numPr>
                <w:ilvl w:val="0"/>
                <w:numId w:val="18"/>
              </w:numPr>
              <w:bidi w:val="0"/>
              <w:rPr>
                <w:color w:val="auto"/>
                <w:highlight w:val="none"/>
              </w:rPr>
            </w:pPr>
            <w:r>
              <w:rPr>
                <w:color w:val="auto"/>
                <w:highlight w:val="none"/>
              </w:rPr>
              <w:t>达标区判定一览表</w:t>
            </w:r>
          </w:p>
          <w:tbl>
            <w:tblPr>
              <w:tblStyle w:val="33"/>
              <w:tblW w:w="841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39"/>
              <w:gridCol w:w="1194"/>
              <w:gridCol w:w="1301"/>
              <w:gridCol w:w="1750"/>
              <w:gridCol w:w="882"/>
              <w:gridCol w:w="742"/>
            </w:tblGrid>
            <w:tr w14:paraId="4A7FC0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420" w:type="pct"/>
                  <w:vAlign w:val="center"/>
                </w:tcPr>
                <w:p w14:paraId="251B0ABF">
                  <w:pPr>
                    <w:pStyle w:val="48"/>
                    <w:tabs>
                      <w:tab w:val="left" w:pos="0"/>
                    </w:tabs>
                    <w:bidi w:val="0"/>
                    <w:rPr>
                      <w:b/>
                      <w:bCs/>
                      <w:color w:val="auto"/>
                      <w:highlight w:val="none"/>
                    </w:rPr>
                  </w:pPr>
                  <w:r>
                    <w:rPr>
                      <w:b/>
                      <w:bCs/>
                      <w:color w:val="auto"/>
                      <w:highlight w:val="none"/>
                    </w:rPr>
                    <w:t>污染物</w:t>
                  </w:r>
                </w:p>
              </w:tc>
              <w:tc>
                <w:tcPr>
                  <w:tcW w:w="1092" w:type="pct"/>
                  <w:vAlign w:val="center"/>
                </w:tcPr>
                <w:p w14:paraId="081B8ED7">
                  <w:pPr>
                    <w:pStyle w:val="48"/>
                    <w:tabs>
                      <w:tab w:val="left" w:pos="0"/>
                    </w:tabs>
                    <w:bidi w:val="0"/>
                    <w:rPr>
                      <w:b/>
                      <w:bCs/>
                      <w:color w:val="auto"/>
                      <w:highlight w:val="none"/>
                    </w:rPr>
                  </w:pPr>
                  <w:r>
                    <w:rPr>
                      <w:b/>
                      <w:bCs/>
                      <w:color w:val="auto"/>
                      <w:highlight w:val="none"/>
                    </w:rPr>
                    <w:t>评价指标</w:t>
                  </w:r>
                </w:p>
              </w:tc>
              <w:tc>
                <w:tcPr>
                  <w:tcW w:w="709" w:type="pct"/>
                  <w:vAlign w:val="center"/>
                </w:tcPr>
                <w:p w14:paraId="3BF516AE">
                  <w:pPr>
                    <w:pStyle w:val="48"/>
                    <w:tabs>
                      <w:tab w:val="left" w:pos="0"/>
                    </w:tabs>
                    <w:bidi w:val="0"/>
                    <w:rPr>
                      <w:b/>
                      <w:bCs/>
                      <w:color w:val="auto"/>
                      <w:highlight w:val="none"/>
                    </w:rPr>
                  </w:pPr>
                  <w:r>
                    <w:rPr>
                      <w:b/>
                      <w:bCs/>
                      <w:color w:val="auto"/>
                      <w:highlight w:val="none"/>
                    </w:rPr>
                    <w:t>现状浓度</w:t>
                  </w:r>
                </w:p>
                <w:p w14:paraId="45F51752">
                  <w:pPr>
                    <w:pStyle w:val="48"/>
                    <w:tabs>
                      <w:tab w:val="left" w:pos="0"/>
                    </w:tabs>
                    <w:bidi w:val="0"/>
                    <w:rPr>
                      <w:b/>
                      <w:bCs/>
                      <w:color w:val="auto"/>
                      <w:highlight w:val="none"/>
                    </w:rPr>
                  </w:pPr>
                  <w:r>
                    <w:rPr>
                      <w:rFonts w:hint="eastAsia"/>
                      <w:b/>
                      <w:bCs/>
                      <w:color w:val="auto"/>
                      <w:highlight w:val="none"/>
                      <w:lang w:eastAsia="zh-CN"/>
                    </w:rPr>
                    <w:t>（</w:t>
                  </w:r>
                  <w:r>
                    <w:rPr>
                      <w:b/>
                      <w:bCs/>
                      <w:color w:val="auto"/>
                      <w:highlight w:val="none"/>
                    </w:rPr>
                    <w:t>μg/m</w:t>
                  </w:r>
                  <w:r>
                    <w:rPr>
                      <w:b/>
                      <w:bCs/>
                      <w:color w:val="auto"/>
                      <w:highlight w:val="none"/>
                      <w:vertAlign w:val="superscript"/>
                    </w:rPr>
                    <w:t>3</w:t>
                  </w:r>
                  <w:r>
                    <w:rPr>
                      <w:rFonts w:hint="eastAsia"/>
                      <w:b/>
                      <w:bCs/>
                      <w:color w:val="auto"/>
                      <w:highlight w:val="none"/>
                      <w:vertAlign w:val="baseline"/>
                      <w:lang w:eastAsia="zh-CN"/>
                    </w:rPr>
                    <w:t>）</w:t>
                  </w:r>
                </w:p>
              </w:tc>
              <w:tc>
                <w:tcPr>
                  <w:tcW w:w="772" w:type="pct"/>
                  <w:vAlign w:val="center"/>
                </w:tcPr>
                <w:p w14:paraId="58F52E98">
                  <w:pPr>
                    <w:pStyle w:val="48"/>
                    <w:tabs>
                      <w:tab w:val="left" w:pos="0"/>
                    </w:tabs>
                    <w:bidi w:val="0"/>
                    <w:rPr>
                      <w:rFonts w:hint="eastAsia"/>
                      <w:b/>
                      <w:bCs/>
                      <w:color w:val="auto"/>
                      <w:sz w:val="21"/>
                      <w:szCs w:val="21"/>
                      <w:highlight w:val="none"/>
                      <w:lang w:val="en-US" w:eastAsia="zh-CN"/>
                    </w:rPr>
                  </w:pPr>
                  <w:r>
                    <w:rPr>
                      <w:rFonts w:hint="eastAsia" w:cs="Times New Roman"/>
                      <w:b/>
                      <w:bCs/>
                      <w:color w:val="auto"/>
                      <w:kern w:val="2"/>
                      <w:sz w:val="21"/>
                      <w:szCs w:val="21"/>
                      <w:highlight w:val="none"/>
                      <w:lang w:val="en-US" w:eastAsia="zh-CN" w:bidi="ar-SA"/>
                    </w:rPr>
                    <w:t>（GB 3095-2012）</w:t>
                  </w:r>
                  <w:r>
                    <w:rPr>
                      <w:rFonts w:hint="eastAsia"/>
                      <w:b/>
                      <w:bCs/>
                      <w:color w:val="auto"/>
                      <w:sz w:val="21"/>
                      <w:szCs w:val="21"/>
                      <w:highlight w:val="none"/>
                      <w:lang w:val="en-US" w:eastAsia="zh-CN"/>
                    </w:rPr>
                    <w:t>浓度限值</w:t>
                  </w:r>
                </w:p>
                <w:p w14:paraId="1D673DE5">
                  <w:pPr>
                    <w:pStyle w:val="48"/>
                    <w:tabs>
                      <w:tab w:val="left" w:pos="0"/>
                    </w:tabs>
                    <w:bidi w:val="0"/>
                    <w:rPr>
                      <w:b/>
                      <w:bCs/>
                      <w:color w:val="auto"/>
                      <w:sz w:val="21"/>
                      <w:szCs w:val="21"/>
                      <w:highlight w:val="none"/>
                    </w:rPr>
                  </w:pPr>
                  <w:r>
                    <w:rPr>
                      <w:rFonts w:hint="default" w:ascii="Times New Roman" w:hAnsi="Times New Roman" w:eastAsia="宋体" w:cs="Times New Roman"/>
                      <w:b/>
                      <w:bCs/>
                      <w:color w:val="auto"/>
                      <w:kern w:val="2"/>
                      <w:sz w:val="21"/>
                      <w:szCs w:val="21"/>
                      <w:highlight w:val="none"/>
                      <w:lang w:val="en-US" w:eastAsia="zh-CN" w:bidi="ar-SA"/>
                    </w:rPr>
                    <w:t>（μg/m</w:t>
                  </w:r>
                  <w:r>
                    <w:rPr>
                      <w:rFonts w:hint="default" w:ascii="Times New Roman" w:hAnsi="Times New Roman" w:eastAsia="宋体" w:cs="Times New Roman"/>
                      <w:b/>
                      <w:bCs/>
                      <w:color w:val="auto"/>
                      <w:kern w:val="2"/>
                      <w:sz w:val="21"/>
                      <w:szCs w:val="21"/>
                      <w:highlight w:val="none"/>
                      <w:vertAlign w:val="superscript"/>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t>）</w:t>
                  </w:r>
                </w:p>
              </w:tc>
              <w:tc>
                <w:tcPr>
                  <w:tcW w:w="1039" w:type="pct"/>
                  <w:vAlign w:val="center"/>
                </w:tcPr>
                <w:p w14:paraId="069316CC">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right="0" w:firstLine="0" w:firstLineChars="0"/>
                    <w:contextualSpacing/>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（GB 3095-2026）过渡阶段浓度限</w:t>
                  </w:r>
                  <w:r>
                    <w:rPr>
                      <w:rFonts w:hint="default" w:ascii="Times New Roman" w:hAnsi="Times New Roman" w:eastAsia="宋体" w:cs="Times New Roman"/>
                      <w:b/>
                      <w:bCs/>
                      <w:color w:val="auto"/>
                      <w:kern w:val="2"/>
                      <w:sz w:val="21"/>
                      <w:szCs w:val="21"/>
                      <w:highlight w:val="none"/>
                      <w:lang w:val="en-US" w:eastAsia="zh-CN" w:bidi="ar-SA"/>
                    </w:rPr>
                    <w:t>值</w:t>
                  </w:r>
                  <w:r>
                    <w:rPr>
                      <w:rFonts w:hint="eastAsia" w:ascii="Times New Roman" w:hAnsi="Times New Roman" w:cs="Times New Roman"/>
                      <w:b/>
                      <w:bCs/>
                      <w:color w:val="auto"/>
                      <w:kern w:val="2"/>
                      <w:sz w:val="21"/>
                      <w:szCs w:val="21"/>
                      <w:highlight w:val="none"/>
                      <w:lang w:val="en-US" w:eastAsia="zh-CN" w:bidi="ar-SA"/>
                    </w:rPr>
                    <w:t>*</w:t>
                  </w:r>
                </w:p>
                <w:p w14:paraId="3B44DAB7">
                  <w:pPr>
                    <w:pStyle w:val="48"/>
                    <w:tabs>
                      <w:tab w:val="left" w:pos="0"/>
                    </w:tabs>
                    <w:bidi w:val="0"/>
                    <w:rPr>
                      <w:rFonts w:hint="default"/>
                      <w:b/>
                      <w:bCs/>
                      <w:color w:val="auto"/>
                      <w:highlight w:val="none"/>
                      <w:lang w:val="en-US" w:eastAsia="zh-CN"/>
                    </w:rPr>
                  </w:pPr>
                  <w:r>
                    <w:rPr>
                      <w:rFonts w:hint="default" w:ascii="Times New Roman" w:hAnsi="Times New Roman" w:eastAsia="宋体" w:cs="Times New Roman"/>
                      <w:b/>
                      <w:bCs/>
                      <w:color w:val="auto"/>
                      <w:kern w:val="2"/>
                      <w:sz w:val="21"/>
                      <w:szCs w:val="21"/>
                      <w:highlight w:val="none"/>
                      <w:lang w:val="en-US" w:eastAsia="zh-CN" w:bidi="ar-SA"/>
                    </w:rPr>
                    <w:t>（μg/m</w:t>
                  </w:r>
                  <w:r>
                    <w:rPr>
                      <w:rFonts w:hint="default" w:ascii="Times New Roman" w:hAnsi="Times New Roman" w:eastAsia="宋体" w:cs="Times New Roman"/>
                      <w:b/>
                      <w:bCs/>
                      <w:color w:val="auto"/>
                      <w:kern w:val="2"/>
                      <w:sz w:val="21"/>
                      <w:szCs w:val="21"/>
                      <w:highlight w:val="none"/>
                      <w:vertAlign w:val="superscript"/>
                      <w:lang w:val="en-US" w:eastAsia="zh-CN" w:bidi="ar-SA"/>
                    </w:rPr>
                    <w:t>3</w:t>
                  </w:r>
                  <w:r>
                    <w:rPr>
                      <w:rFonts w:hint="default" w:ascii="Times New Roman" w:hAnsi="Times New Roman" w:eastAsia="宋体" w:cs="Times New Roman"/>
                      <w:b/>
                      <w:bCs/>
                      <w:color w:val="auto"/>
                      <w:kern w:val="2"/>
                      <w:sz w:val="21"/>
                      <w:szCs w:val="21"/>
                      <w:highlight w:val="none"/>
                      <w:lang w:val="en-US" w:eastAsia="zh-CN" w:bidi="ar-SA"/>
                    </w:rPr>
                    <w:t>）</w:t>
                  </w:r>
                </w:p>
              </w:tc>
              <w:tc>
                <w:tcPr>
                  <w:tcW w:w="524" w:type="pct"/>
                  <w:vAlign w:val="center"/>
                </w:tcPr>
                <w:p w14:paraId="71C4E0F0">
                  <w:pPr>
                    <w:pStyle w:val="48"/>
                    <w:tabs>
                      <w:tab w:val="left" w:pos="0"/>
                    </w:tabs>
                    <w:bidi w:val="0"/>
                    <w:rPr>
                      <w:b/>
                      <w:bCs/>
                      <w:color w:val="auto"/>
                      <w:highlight w:val="none"/>
                    </w:rPr>
                  </w:pPr>
                  <w:r>
                    <w:rPr>
                      <w:b/>
                      <w:bCs/>
                      <w:color w:val="auto"/>
                      <w:highlight w:val="none"/>
                    </w:rPr>
                    <w:t>占标率（%）</w:t>
                  </w:r>
                </w:p>
              </w:tc>
              <w:tc>
                <w:tcPr>
                  <w:tcW w:w="440" w:type="pct"/>
                  <w:vAlign w:val="center"/>
                </w:tcPr>
                <w:p w14:paraId="1F0DDDD3">
                  <w:pPr>
                    <w:pStyle w:val="48"/>
                    <w:tabs>
                      <w:tab w:val="left" w:pos="0"/>
                    </w:tabs>
                    <w:bidi w:val="0"/>
                    <w:rPr>
                      <w:b/>
                      <w:bCs/>
                      <w:color w:val="auto"/>
                      <w:highlight w:val="none"/>
                    </w:rPr>
                  </w:pPr>
                  <w:r>
                    <w:rPr>
                      <w:b/>
                      <w:bCs/>
                      <w:color w:val="auto"/>
                      <w:highlight w:val="none"/>
                    </w:rPr>
                    <w:t>达标情况</w:t>
                  </w:r>
                </w:p>
              </w:tc>
            </w:tr>
            <w:tr w14:paraId="716D36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420" w:type="pct"/>
                  <w:vAlign w:val="center"/>
                </w:tcPr>
                <w:p w14:paraId="0F2CD13F">
                  <w:pPr>
                    <w:pStyle w:val="48"/>
                    <w:tabs>
                      <w:tab w:val="left" w:pos="0"/>
                    </w:tabs>
                    <w:bidi w:val="0"/>
                    <w:rPr>
                      <w:color w:val="auto"/>
                      <w:highlight w:val="none"/>
                    </w:rPr>
                  </w:pPr>
                  <w:r>
                    <w:rPr>
                      <w:color w:val="auto"/>
                      <w:highlight w:val="none"/>
                    </w:rPr>
                    <w:t>PM</w:t>
                  </w:r>
                  <w:r>
                    <w:rPr>
                      <w:color w:val="auto"/>
                      <w:highlight w:val="none"/>
                      <w:vertAlign w:val="subscript"/>
                    </w:rPr>
                    <w:t>2.5</w:t>
                  </w:r>
                </w:p>
              </w:tc>
              <w:tc>
                <w:tcPr>
                  <w:tcW w:w="1092" w:type="pct"/>
                  <w:vAlign w:val="center"/>
                </w:tcPr>
                <w:p w14:paraId="67BD4D3D">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年平均质量浓度</w:t>
                  </w:r>
                </w:p>
              </w:tc>
              <w:tc>
                <w:tcPr>
                  <w:tcW w:w="709" w:type="pct"/>
                  <w:vAlign w:val="center"/>
                </w:tcPr>
                <w:p w14:paraId="6E8AD461">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color w:val="auto"/>
                      <w:highlight w:val="none"/>
                      <w:lang w:val="en-US" w:eastAsia="zh-CN"/>
                    </w:rPr>
                  </w:pPr>
                  <w:r>
                    <w:rPr>
                      <w:rFonts w:hint="eastAsia" w:cs="Times New Roman"/>
                      <w:bCs/>
                      <w:color w:val="auto"/>
                      <w:kern w:val="2"/>
                      <w:sz w:val="21"/>
                      <w:szCs w:val="21"/>
                      <w:highlight w:val="none"/>
                      <w:lang w:val="en-US" w:eastAsia="zh-CN" w:bidi="ar-SA"/>
                    </w:rPr>
                    <w:t>27.1</w:t>
                  </w:r>
                </w:p>
              </w:tc>
              <w:tc>
                <w:tcPr>
                  <w:tcW w:w="772" w:type="pct"/>
                  <w:vAlign w:val="center"/>
                </w:tcPr>
                <w:p w14:paraId="5141EE4B">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35</w:t>
                  </w:r>
                </w:p>
              </w:tc>
              <w:tc>
                <w:tcPr>
                  <w:tcW w:w="1039" w:type="pct"/>
                  <w:shd w:val="clear" w:color="auto" w:fill="auto"/>
                  <w:vAlign w:val="center"/>
                </w:tcPr>
                <w:p w14:paraId="3D81202C">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bCs/>
                      <w:color w:val="auto"/>
                      <w:kern w:val="2"/>
                      <w:sz w:val="21"/>
                      <w:szCs w:val="21"/>
                      <w:highlight w:val="none"/>
                      <w:lang w:val="en-US" w:eastAsia="zh-CN" w:bidi="ar-SA"/>
                    </w:rPr>
                    <w:t>30</w:t>
                  </w:r>
                </w:p>
              </w:tc>
              <w:tc>
                <w:tcPr>
                  <w:tcW w:w="524" w:type="pct"/>
                  <w:vAlign w:val="center"/>
                </w:tcPr>
                <w:p w14:paraId="1957FB74">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highlight w:val="none"/>
                      <w:lang w:val="en-US" w:eastAsia="zh-CN"/>
                    </w:rPr>
                  </w:pPr>
                  <w:r>
                    <w:rPr>
                      <w:rFonts w:hint="eastAsia" w:cs="Times New Roman"/>
                      <w:bCs/>
                      <w:color w:val="auto"/>
                      <w:kern w:val="2"/>
                      <w:sz w:val="21"/>
                      <w:szCs w:val="21"/>
                      <w:highlight w:val="none"/>
                      <w:lang w:val="en-US" w:eastAsia="zh-CN" w:bidi="ar-SA"/>
                    </w:rPr>
                    <w:t>90.3</w:t>
                  </w:r>
                </w:p>
              </w:tc>
              <w:tc>
                <w:tcPr>
                  <w:tcW w:w="440" w:type="pct"/>
                  <w:vAlign w:val="center"/>
                </w:tcPr>
                <w:p w14:paraId="4DDE0E57">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达标</w:t>
                  </w:r>
                </w:p>
              </w:tc>
            </w:tr>
            <w:tr w14:paraId="4566C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420" w:type="pct"/>
                  <w:vAlign w:val="center"/>
                </w:tcPr>
                <w:p w14:paraId="1F88230E">
                  <w:pPr>
                    <w:pStyle w:val="48"/>
                    <w:tabs>
                      <w:tab w:val="left" w:pos="0"/>
                    </w:tabs>
                    <w:bidi w:val="0"/>
                    <w:rPr>
                      <w:color w:val="auto"/>
                      <w:highlight w:val="none"/>
                    </w:rPr>
                  </w:pPr>
                  <w:r>
                    <w:rPr>
                      <w:color w:val="auto"/>
                      <w:highlight w:val="none"/>
                    </w:rPr>
                    <w:t>PM</w:t>
                  </w:r>
                  <w:r>
                    <w:rPr>
                      <w:color w:val="auto"/>
                      <w:highlight w:val="none"/>
                      <w:vertAlign w:val="subscript"/>
                    </w:rPr>
                    <w:t>10</w:t>
                  </w:r>
                </w:p>
              </w:tc>
              <w:tc>
                <w:tcPr>
                  <w:tcW w:w="1092" w:type="pct"/>
                  <w:vAlign w:val="center"/>
                </w:tcPr>
                <w:p w14:paraId="6CFA26BD">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年平均质量浓度</w:t>
                  </w:r>
                </w:p>
              </w:tc>
              <w:tc>
                <w:tcPr>
                  <w:tcW w:w="709" w:type="pct"/>
                  <w:vAlign w:val="center"/>
                </w:tcPr>
                <w:p w14:paraId="6920E50C">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color w:val="auto"/>
                      <w:highlight w:val="none"/>
                      <w:lang w:val="en-US" w:eastAsia="zh-CN"/>
                    </w:rPr>
                  </w:pPr>
                  <w:r>
                    <w:rPr>
                      <w:rFonts w:hint="eastAsia" w:cs="Times New Roman"/>
                      <w:bCs/>
                      <w:color w:val="auto"/>
                      <w:kern w:val="2"/>
                      <w:sz w:val="21"/>
                      <w:szCs w:val="21"/>
                      <w:highlight w:val="none"/>
                      <w:lang w:val="en-US" w:eastAsia="zh-CN" w:bidi="ar-SA"/>
                    </w:rPr>
                    <w:t>47</w:t>
                  </w:r>
                </w:p>
              </w:tc>
              <w:tc>
                <w:tcPr>
                  <w:tcW w:w="772" w:type="pct"/>
                  <w:vAlign w:val="center"/>
                </w:tcPr>
                <w:p w14:paraId="0206D4C1">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70</w:t>
                  </w:r>
                </w:p>
              </w:tc>
              <w:tc>
                <w:tcPr>
                  <w:tcW w:w="1039" w:type="pct"/>
                  <w:shd w:val="clear" w:color="auto" w:fill="auto"/>
                  <w:vAlign w:val="center"/>
                </w:tcPr>
                <w:p w14:paraId="27036014">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bCs/>
                      <w:color w:val="auto"/>
                      <w:kern w:val="2"/>
                      <w:sz w:val="21"/>
                      <w:szCs w:val="21"/>
                      <w:highlight w:val="none"/>
                      <w:lang w:val="en-US" w:eastAsia="zh-CN" w:bidi="ar-SA"/>
                    </w:rPr>
                    <w:t>60</w:t>
                  </w:r>
                </w:p>
              </w:tc>
              <w:tc>
                <w:tcPr>
                  <w:tcW w:w="524" w:type="pct"/>
                  <w:vAlign w:val="center"/>
                </w:tcPr>
                <w:p w14:paraId="5424764D">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highlight w:val="none"/>
                      <w:lang w:val="en-US" w:eastAsia="zh-CN"/>
                    </w:rPr>
                  </w:pPr>
                  <w:r>
                    <w:rPr>
                      <w:rFonts w:hint="eastAsia" w:cs="Times New Roman"/>
                      <w:bCs/>
                      <w:color w:val="auto"/>
                      <w:kern w:val="2"/>
                      <w:sz w:val="21"/>
                      <w:szCs w:val="21"/>
                      <w:highlight w:val="none"/>
                      <w:lang w:val="en-US" w:eastAsia="zh-CN" w:bidi="ar-SA"/>
                    </w:rPr>
                    <w:t>78.3</w:t>
                  </w:r>
                </w:p>
              </w:tc>
              <w:tc>
                <w:tcPr>
                  <w:tcW w:w="440" w:type="pct"/>
                  <w:vAlign w:val="center"/>
                </w:tcPr>
                <w:p w14:paraId="12B15E69">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达标</w:t>
                  </w:r>
                </w:p>
              </w:tc>
            </w:tr>
            <w:tr w14:paraId="710CA5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420" w:type="pct"/>
                  <w:vAlign w:val="center"/>
                </w:tcPr>
                <w:p w14:paraId="0D0CE07A">
                  <w:pPr>
                    <w:pStyle w:val="48"/>
                    <w:tabs>
                      <w:tab w:val="left" w:pos="0"/>
                    </w:tabs>
                    <w:bidi w:val="0"/>
                    <w:rPr>
                      <w:color w:val="auto"/>
                      <w:highlight w:val="none"/>
                    </w:rPr>
                  </w:pPr>
                  <w:r>
                    <w:rPr>
                      <w:color w:val="auto"/>
                      <w:highlight w:val="none"/>
                    </w:rPr>
                    <w:t>NO</w:t>
                  </w:r>
                  <w:r>
                    <w:rPr>
                      <w:color w:val="auto"/>
                      <w:highlight w:val="none"/>
                      <w:vertAlign w:val="subscript"/>
                    </w:rPr>
                    <w:t>2</w:t>
                  </w:r>
                </w:p>
              </w:tc>
              <w:tc>
                <w:tcPr>
                  <w:tcW w:w="1092" w:type="pct"/>
                  <w:vAlign w:val="center"/>
                </w:tcPr>
                <w:p w14:paraId="724E659A">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年平均质量浓度</w:t>
                  </w:r>
                </w:p>
              </w:tc>
              <w:tc>
                <w:tcPr>
                  <w:tcW w:w="709" w:type="pct"/>
                  <w:vAlign w:val="center"/>
                </w:tcPr>
                <w:p w14:paraId="44FDB84B">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color w:val="auto"/>
                      <w:highlight w:val="none"/>
                      <w:lang w:val="en-US" w:eastAsia="zh-CN"/>
                    </w:rPr>
                  </w:pPr>
                  <w:r>
                    <w:rPr>
                      <w:rFonts w:hint="eastAsia" w:cs="Times New Roman"/>
                      <w:bCs/>
                      <w:color w:val="auto"/>
                      <w:kern w:val="2"/>
                      <w:sz w:val="21"/>
                      <w:szCs w:val="21"/>
                      <w:highlight w:val="none"/>
                      <w:lang w:val="en-US" w:eastAsia="zh-CN" w:bidi="ar-SA"/>
                    </w:rPr>
                    <w:t>23</w:t>
                  </w:r>
                </w:p>
              </w:tc>
              <w:tc>
                <w:tcPr>
                  <w:tcW w:w="772" w:type="pct"/>
                  <w:vAlign w:val="center"/>
                </w:tcPr>
                <w:p w14:paraId="1C601C13">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40</w:t>
                  </w:r>
                </w:p>
              </w:tc>
              <w:tc>
                <w:tcPr>
                  <w:tcW w:w="1039" w:type="pct"/>
                  <w:shd w:val="clear" w:color="auto" w:fill="auto"/>
                  <w:vAlign w:val="center"/>
                </w:tcPr>
                <w:p w14:paraId="7934C786">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40</w:t>
                  </w:r>
                </w:p>
              </w:tc>
              <w:tc>
                <w:tcPr>
                  <w:tcW w:w="524" w:type="pct"/>
                  <w:vAlign w:val="center"/>
                </w:tcPr>
                <w:p w14:paraId="3897C029">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highlight w:val="none"/>
                      <w:lang w:val="en-US" w:eastAsia="zh-CN"/>
                    </w:rPr>
                  </w:pPr>
                  <w:r>
                    <w:rPr>
                      <w:rFonts w:hint="eastAsia" w:cs="Times New Roman"/>
                      <w:bCs/>
                      <w:color w:val="auto"/>
                      <w:kern w:val="2"/>
                      <w:sz w:val="21"/>
                      <w:szCs w:val="21"/>
                      <w:highlight w:val="none"/>
                      <w:lang w:val="en-US" w:eastAsia="zh-CN" w:bidi="ar-SA"/>
                    </w:rPr>
                    <w:t>57.5</w:t>
                  </w:r>
                </w:p>
              </w:tc>
              <w:tc>
                <w:tcPr>
                  <w:tcW w:w="440" w:type="pct"/>
                  <w:vAlign w:val="center"/>
                </w:tcPr>
                <w:p w14:paraId="3A719B10">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达标</w:t>
                  </w:r>
                </w:p>
              </w:tc>
            </w:tr>
            <w:tr w14:paraId="56DE22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420" w:type="pct"/>
                  <w:vAlign w:val="center"/>
                </w:tcPr>
                <w:p w14:paraId="6FB4B0D0">
                  <w:pPr>
                    <w:pStyle w:val="48"/>
                    <w:tabs>
                      <w:tab w:val="left" w:pos="0"/>
                    </w:tabs>
                    <w:bidi w:val="0"/>
                    <w:rPr>
                      <w:color w:val="auto"/>
                      <w:highlight w:val="none"/>
                    </w:rPr>
                  </w:pPr>
                  <w:r>
                    <w:rPr>
                      <w:color w:val="auto"/>
                      <w:highlight w:val="none"/>
                    </w:rPr>
                    <w:t>SO</w:t>
                  </w:r>
                  <w:r>
                    <w:rPr>
                      <w:color w:val="auto"/>
                      <w:highlight w:val="none"/>
                      <w:vertAlign w:val="subscript"/>
                    </w:rPr>
                    <w:t>2</w:t>
                  </w:r>
                </w:p>
              </w:tc>
              <w:tc>
                <w:tcPr>
                  <w:tcW w:w="1092" w:type="pct"/>
                  <w:vAlign w:val="center"/>
                </w:tcPr>
                <w:p w14:paraId="024220D0">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年平均质量浓度</w:t>
                  </w:r>
                </w:p>
              </w:tc>
              <w:tc>
                <w:tcPr>
                  <w:tcW w:w="709" w:type="pct"/>
                  <w:vAlign w:val="center"/>
                </w:tcPr>
                <w:p w14:paraId="59849187">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color w:val="auto"/>
                      <w:highlight w:val="none"/>
                      <w:lang w:eastAsia="zh-CN"/>
                    </w:rPr>
                  </w:pPr>
                  <w:r>
                    <w:rPr>
                      <w:rFonts w:hint="eastAsia" w:ascii="Times New Roman" w:hAnsi="Times New Roman" w:eastAsia="宋体" w:cs="Times New Roman"/>
                      <w:bCs/>
                      <w:color w:val="auto"/>
                      <w:kern w:val="2"/>
                      <w:sz w:val="21"/>
                      <w:szCs w:val="21"/>
                      <w:highlight w:val="none"/>
                      <w:lang w:val="en-US" w:eastAsia="zh-CN" w:bidi="ar-SA"/>
                    </w:rPr>
                    <w:t>6</w:t>
                  </w:r>
                </w:p>
              </w:tc>
              <w:tc>
                <w:tcPr>
                  <w:tcW w:w="772" w:type="pct"/>
                  <w:vAlign w:val="center"/>
                </w:tcPr>
                <w:p w14:paraId="7E383F1D">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60</w:t>
                  </w:r>
                </w:p>
              </w:tc>
              <w:tc>
                <w:tcPr>
                  <w:tcW w:w="1039" w:type="pct"/>
                  <w:shd w:val="clear" w:color="auto" w:fill="auto"/>
                  <w:vAlign w:val="center"/>
                </w:tcPr>
                <w:p w14:paraId="045475C3">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60</w:t>
                  </w:r>
                </w:p>
              </w:tc>
              <w:tc>
                <w:tcPr>
                  <w:tcW w:w="524" w:type="pct"/>
                  <w:vAlign w:val="center"/>
                </w:tcPr>
                <w:p w14:paraId="55D629BF">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highlight w:val="none"/>
                      <w:lang w:val="en-US" w:eastAsia="zh-CN"/>
                    </w:rPr>
                  </w:pPr>
                  <w:r>
                    <w:rPr>
                      <w:rFonts w:hint="eastAsia" w:ascii="Times New Roman" w:hAnsi="Times New Roman" w:eastAsia="宋体" w:cs="Times New Roman"/>
                      <w:bCs/>
                      <w:color w:val="auto"/>
                      <w:kern w:val="2"/>
                      <w:sz w:val="21"/>
                      <w:szCs w:val="21"/>
                      <w:highlight w:val="none"/>
                      <w:lang w:val="en-US" w:eastAsia="zh-CN" w:bidi="ar-SA"/>
                    </w:rPr>
                    <w:t>10</w:t>
                  </w:r>
                </w:p>
              </w:tc>
              <w:tc>
                <w:tcPr>
                  <w:tcW w:w="440" w:type="pct"/>
                  <w:vAlign w:val="center"/>
                </w:tcPr>
                <w:p w14:paraId="3CCA2834">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达标</w:t>
                  </w:r>
                </w:p>
              </w:tc>
            </w:tr>
            <w:tr w14:paraId="4480A5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20" w:type="pct"/>
                  <w:vAlign w:val="center"/>
                </w:tcPr>
                <w:p w14:paraId="134F427E">
                  <w:pPr>
                    <w:pStyle w:val="48"/>
                    <w:tabs>
                      <w:tab w:val="left" w:pos="0"/>
                    </w:tabs>
                    <w:bidi w:val="0"/>
                    <w:rPr>
                      <w:color w:val="auto"/>
                      <w:highlight w:val="none"/>
                    </w:rPr>
                  </w:pPr>
                  <w:r>
                    <w:rPr>
                      <w:color w:val="auto"/>
                      <w:highlight w:val="none"/>
                    </w:rPr>
                    <w:t>CO</w:t>
                  </w:r>
                </w:p>
              </w:tc>
              <w:tc>
                <w:tcPr>
                  <w:tcW w:w="1092" w:type="pct"/>
                  <w:vAlign w:val="center"/>
                </w:tcPr>
                <w:p w14:paraId="6992C4CB">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color w:val="auto"/>
                      <w:highlight w:val="none"/>
                    </w:rPr>
                  </w:pPr>
                  <w:r>
                    <w:rPr>
                      <w:rFonts w:hint="default"/>
                      <w:color w:val="auto"/>
                      <w:highlight w:val="none"/>
                      <w:lang w:val="en-US" w:eastAsia="zh-CN"/>
                    </w:rPr>
                    <w:t>日均浓度第95百分位数</w:t>
                  </w:r>
                </w:p>
              </w:tc>
              <w:tc>
                <w:tcPr>
                  <w:tcW w:w="709" w:type="pct"/>
                  <w:vAlign w:val="center"/>
                </w:tcPr>
                <w:p w14:paraId="08D8A3E8">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eastAsia" w:ascii="Times New Roman" w:hAnsi="Times New Roman" w:eastAsia="宋体" w:cs="Times New Roman"/>
                      <w:bCs/>
                      <w:color w:val="auto"/>
                      <w:kern w:val="2"/>
                      <w:sz w:val="21"/>
                      <w:szCs w:val="21"/>
                      <w:highlight w:val="none"/>
                      <w:lang w:val="en-US" w:eastAsia="zh-CN" w:bidi="ar-SA"/>
                    </w:rPr>
                    <w:t>0.9</w:t>
                  </w:r>
                  <w:r>
                    <w:rPr>
                      <w:rFonts w:hint="default" w:ascii="Times New Roman" w:hAnsi="Times New Roman" w:eastAsia="宋体" w:cs="Times New Roman"/>
                      <w:bCs/>
                      <w:color w:val="auto"/>
                      <w:kern w:val="2"/>
                      <w:sz w:val="21"/>
                      <w:szCs w:val="21"/>
                      <w:highlight w:val="none"/>
                      <w:lang w:val="en-US" w:eastAsia="zh-CN" w:bidi="ar-SA"/>
                    </w:rPr>
                    <w:t>mg/m</w:t>
                  </w:r>
                  <w:r>
                    <w:rPr>
                      <w:rFonts w:hint="default" w:ascii="Times New Roman" w:hAnsi="Times New Roman" w:eastAsia="宋体" w:cs="Times New Roman"/>
                      <w:bCs/>
                      <w:color w:val="auto"/>
                      <w:kern w:val="2"/>
                      <w:sz w:val="21"/>
                      <w:szCs w:val="21"/>
                      <w:highlight w:val="none"/>
                      <w:vertAlign w:val="superscript"/>
                      <w:lang w:val="en-US" w:eastAsia="zh-CN" w:bidi="ar-SA"/>
                    </w:rPr>
                    <w:t>3</w:t>
                  </w:r>
                </w:p>
              </w:tc>
              <w:tc>
                <w:tcPr>
                  <w:tcW w:w="772" w:type="pct"/>
                  <w:vAlign w:val="center"/>
                </w:tcPr>
                <w:p w14:paraId="3DE329E1">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4</w:t>
                  </w:r>
                  <w:r>
                    <w:rPr>
                      <w:rFonts w:hint="default" w:ascii="Times New Roman" w:hAnsi="Times New Roman" w:eastAsia="宋体" w:cs="Times New Roman"/>
                      <w:bCs/>
                      <w:color w:val="auto"/>
                      <w:kern w:val="2"/>
                      <w:sz w:val="21"/>
                      <w:szCs w:val="21"/>
                      <w:highlight w:val="none"/>
                      <w:lang w:val="en-US" w:eastAsia="zh-CN" w:bidi="ar-SA"/>
                    </w:rPr>
                    <w:t>mg/m</w:t>
                  </w:r>
                  <w:r>
                    <w:rPr>
                      <w:rFonts w:hint="default" w:ascii="Times New Roman" w:hAnsi="Times New Roman" w:eastAsia="宋体" w:cs="Times New Roman"/>
                      <w:bCs/>
                      <w:color w:val="auto"/>
                      <w:kern w:val="2"/>
                      <w:sz w:val="21"/>
                      <w:szCs w:val="21"/>
                      <w:highlight w:val="none"/>
                      <w:vertAlign w:val="superscript"/>
                      <w:lang w:val="en-US" w:eastAsia="zh-CN" w:bidi="ar-SA"/>
                    </w:rPr>
                    <w:t>3</w:t>
                  </w:r>
                </w:p>
              </w:tc>
              <w:tc>
                <w:tcPr>
                  <w:tcW w:w="1039" w:type="pct"/>
                  <w:shd w:val="clear" w:color="auto" w:fill="auto"/>
                  <w:vAlign w:val="center"/>
                </w:tcPr>
                <w:p w14:paraId="4DA74454">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bCs/>
                      <w:color w:val="auto"/>
                      <w:kern w:val="2"/>
                      <w:sz w:val="21"/>
                      <w:szCs w:val="21"/>
                      <w:highlight w:val="none"/>
                      <w:lang w:val="en-US" w:eastAsia="zh-CN" w:bidi="ar-SA"/>
                    </w:rPr>
                    <w:t>4</w:t>
                  </w:r>
                  <w:r>
                    <w:rPr>
                      <w:rFonts w:hint="default" w:ascii="Times New Roman" w:hAnsi="Times New Roman" w:eastAsia="宋体" w:cs="Times New Roman"/>
                      <w:bCs/>
                      <w:color w:val="auto"/>
                      <w:kern w:val="2"/>
                      <w:sz w:val="21"/>
                      <w:szCs w:val="21"/>
                      <w:highlight w:val="none"/>
                      <w:lang w:val="en-US" w:eastAsia="zh-CN" w:bidi="ar-SA"/>
                    </w:rPr>
                    <w:t>mg/m</w:t>
                  </w:r>
                  <w:r>
                    <w:rPr>
                      <w:rFonts w:hint="default" w:ascii="Times New Roman" w:hAnsi="Times New Roman" w:eastAsia="宋体" w:cs="Times New Roman"/>
                      <w:bCs/>
                      <w:color w:val="auto"/>
                      <w:kern w:val="2"/>
                      <w:sz w:val="21"/>
                      <w:szCs w:val="21"/>
                      <w:highlight w:val="none"/>
                      <w:vertAlign w:val="superscript"/>
                      <w:lang w:val="en-US" w:eastAsia="zh-CN" w:bidi="ar-SA"/>
                    </w:rPr>
                    <w:t>3</w:t>
                  </w:r>
                </w:p>
              </w:tc>
              <w:tc>
                <w:tcPr>
                  <w:tcW w:w="524" w:type="pct"/>
                  <w:vAlign w:val="center"/>
                </w:tcPr>
                <w:p w14:paraId="6098DFD5">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eastAsia="宋体"/>
                      <w:color w:val="auto"/>
                      <w:highlight w:val="none"/>
                      <w:lang w:val="en-US" w:eastAsia="zh-CN"/>
                    </w:rPr>
                  </w:pPr>
                  <w:r>
                    <w:rPr>
                      <w:rFonts w:hint="eastAsia" w:ascii="Times New Roman" w:hAnsi="Times New Roman" w:eastAsia="宋体" w:cs="Times New Roman"/>
                      <w:bCs/>
                      <w:color w:val="auto"/>
                      <w:kern w:val="2"/>
                      <w:sz w:val="21"/>
                      <w:szCs w:val="21"/>
                      <w:highlight w:val="none"/>
                      <w:lang w:val="en-US" w:eastAsia="zh-CN" w:bidi="ar-SA"/>
                    </w:rPr>
                    <w:t>2</w:t>
                  </w:r>
                  <w:r>
                    <w:rPr>
                      <w:rFonts w:hint="eastAsia" w:cs="Times New Roman"/>
                      <w:bCs/>
                      <w:color w:val="auto"/>
                      <w:kern w:val="2"/>
                      <w:sz w:val="21"/>
                      <w:szCs w:val="21"/>
                      <w:highlight w:val="none"/>
                      <w:lang w:val="en-US" w:eastAsia="zh-CN" w:bidi="ar-SA"/>
                    </w:rPr>
                    <w:t>2.5</w:t>
                  </w:r>
                </w:p>
              </w:tc>
              <w:tc>
                <w:tcPr>
                  <w:tcW w:w="440" w:type="pct"/>
                  <w:vAlign w:val="center"/>
                </w:tcPr>
                <w:p w14:paraId="057BD588">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达标</w:t>
                  </w:r>
                </w:p>
              </w:tc>
            </w:tr>
            <w:tr w14:paraId="6EA12A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420" w:type="pct"/>
                  <w:vAlign w:val="center"/>
                </w:tcPr>
                <w:p w14:paraId="58BA2560">
                  <w:pPr>
                    <w:pStyle w:val="48"/>
                    <w:tabs>
                      <w:tab w:val="left" w:pos="0"/>
                    </w:tabs>
                    <w:bidi w:val="0"/>
                    <w:rPr>
                      <w:color w:val="auto"/>
                      <w:highlight w:val="none"/>
                    </w:rPr>
                  </w:pPr>
                  <w:r>
                    <w:rPr>
                      <w:color w:val="auto"/>
                      <w:highlight w:val="none"/>
                    </w:rPr>
                    <w:t>O</w:t>
                  </w:r>
                  <w:r>
                    <w:rPr>
                      <w:color w:val="auto"/>
                      <w:highlight w:val="none"/>
                      <w:vertAlign w:val="subscript"/>
                    </w:rPr>
                    <w:t>3</w:t>
                  </w:r>
                </w:p>
              </w:tc>
              <w:tc>
                <w:tcPr>
                  <w:tcW w:w="1092" w:type="pct"/>
                  <w:vAlign w:val="center"/>
                </w:tcPr>
                <w:p w14:paraId="08C2CB60">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color w:val="auto"/>
                      <w:highlight w:val="none"/>
                    </w:rPr>
                  </w:pPr>
                  <w:r>
                    <w:rPr>
                      <w:rFonts w:hint="default"/>
                      <w:color w:val="auto"/>
                      <w:highlight w:val="none"/>
                      <w:lang w:val="en-US" w:eastAsia="zh-CN"/>
                    </w:rPr>
                    <w:t>日最大8小时浓度第90百分位数</w:t>
                  </w:r>
                </w:p>
              </w:tc>
              <w:tc>
                <w:tcPr>
                  <w:tcW w:w="709" w:type="pct"/>
                  <w:vAlign w:val="center"/>
                </w:tcPr>
                <w:p w14:paraId="231BC524">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ascii="Times New Roman" w:hAnsi="Times New Roman" w:cs="Times New Roman"/>
                      <w:color w:val="auto"/>
                      <w:highlight w:val="none"/>
                    </w:rPr>
                  </w:pPr>
                  <w:r>
                    <w:rPr>
                      <w:rFonts w:hint="eastAsia" w:cs="Times New Roman"/>
                      <w:bCs/>
                      <w:color w:val="auto"/>
                      <w:kern w:val="2"/>
                      <w:sz w:val="21"/>
                      <w:szCs w:val="21"/>
                      <w:highlight w:val="none"/>
                      <w:lang w:val="en-US" w:eastAsia="zh-CN" w:bidi="ar-SA"/>
                    </w:rPr>
                    <w:t>159</w:t>
                  </w:r>
                </w:p>
              </w:tc>
              <w:tc>
                <w:tcPr>
                  <w:tcW w:w="772" w:type="pct"/>
                  <w:vAlign w:val="center"/>
                </w:tcPr>
                <w:p w14:paraId="2E9EF638">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1039" w:type="pct"/>
                  <w:shd w:val="clear" w:color="auto" w:fill="auto"/>
                  <w:vAlign w:val="center"/>
                </w:tcPr>
                <w:p w14:paraId="63D70AE4">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bCs/>
                      <w:color w:val="auto"/>
                      <w:kern w:val="2"/>
                      <w:sz w:val="21"/>
                      <w:szCs w:val="21"/>
                      <w:highlight w:val="none"/>
                      <w:lang w:val="en-US" w:eastAsia="zh-CN" w:bidi="ar-SA"/>
                    </w:rPr>
                    <w:t>160</w:t>
                  </w:r>
                </w:p>
              </w:tc>
              <w:tc>
                <w:tcPr>
                  <w:tcW w:w="524" w:type="pct"/>
                  <w:vAlign w:val="center"/>
                </w:tcPr>
                <w:p w14:paraId="37C93A20">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rFonts w:hint="default" w:ascii="Times New Roman" w:hAnsi="Times New Roman" w:cs="Times New Roman"/>
                      <w:color w:val="auto"/>
                      <w:highlight w:val="none"/>
                    </w:rPr>
                  </w:pPr>
                  <w:r>
                    <w:rPr>
                      <w:rFonts w:hint="eastAsia" w:cs="Times New Roman"/>
                      <w:bCs/>
                      <w:color w:val="auto"/>
                      <w:kern w:val="2"/>
                      <w:sz w:val="21"/>
                      <w:szCs w:val="21"/>
                      <w:highlight w:val="none"/>
                      <w:lang w:val="en-US" w:eastAsia="zh-CN" w:bidi="ar-SA"/>
                    </w:rPr>
                    <w:t>99.4</w:t>
                  </w:r>
                </w:p>
              </w:tc>
              <w:tc>
                <w:tcPr>
                  <w:tcW w:w="440" w:type="pct"/>
                  <w:vAlign w:val="center"/>
                </w:tcPr>
                <w:p w14:paraId="4DDB6966">
                  <w:pPr>
                    <w:keepNext w:val="0"/>
                    <w:keepLines w:val="0"/>
                    <w:pageBreakBefore w:val="0"/>
                    <w:widowControl w:val="0"/>
                    <w:suppressLineNumbers w:val="0"/>
                    <w:shd w:val="clear" w:color="auto" w:fill="auto"/>
                    <w:tabs>
                      <w:tab w:val="left" w:pos="0"/>
                    </w:tabs>
                    <w:kinsoku/>
                    <w:wordWrap/>
                    <w:overflowPunct/>
                    <w:topLinePunct w:val="0"/>
                    <w:autoSpaceDE/>
                    <w:autoSpaceDN/>
                    <w:bidi w:val="0"/>
                    <w:adjustRightInd/>
                    <w:snapToGrid w:val="0"/>
                    <w:spacing w:beforeAutospacing="0" w:afterAutospacing="0" w:line="240" w:lineRule="exact"/>
                    <w:ind w:left="0" w:leftChars="0" w:right="0" w:rightChars="0" w:firstLine="0" w:firstLineChars="0"/>
                    <w:contextualSpacing/>
                    <w:jc w:val="center"/>
                    <w:textAlignment w:val="auto"/>
                    <w:rPr>
                      <w:color w:val="auto"/>
                      <w:highlight w:val="none"/>
                    </w:rPr>
                  </w:pPr>
                  <w:r>
                    <w:rPr>
                      <w:rFonts w:hint="default" w:ascii="Times New Roman" w:hAnsi="Times New Roman" w:eastAsia="宋体" w:cs="Times New Roman"/>
                      <w:bCs/>
                      <w:color w:val="auto"/>
                      <w:kern w:val="2"/>
                      <w:sz w:val="21"/>
                      <w:szCs w:val="21"/>
                      <w:highlight w:val="none"/>
                      <w:lang w:val="en-US" w:eastAsia="zh-CN" w:bidi="ar-SA"/>
                    </w:rPr>
                    <w:t>达标</w:t>
                  </w:r>
                </w:p>
              </w:tc>
            </w:tr>
          </w:tbl>
          <w:p w14:paraId="034DB9FD">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注：*自</w:t>
            </w:r>
            <w:r>
              <w:rPr>
                <w:rFonts w:hint="default" w:ascii="Times New Roman" w:hAnsi="Times New Roman" w:eastAsia="宋体" w:cs="Times New Roman"/>
                <w:color w:val="auto"/>
                <w:spacing w:val="-1"/>
                <w:sz w:val="21"/>
                <w:szCs w:val="21"/>
                <w:highlight w:val="none"/>
              </w:rPr>
              <w:t>《环境空气质量标准》（</w:t>
            </w:r>
            <w:r>
              <w:rPr>
                <w:rFonts w:hint="eastAsia" w:cs="Times New Roman"/>
                <w:color w:val="auto"/>
                <w:spacing w:val="-1"/>
                <w:sz w:val="21"/>
                <w:szCs w:val="21"/>
                <w:highlight w:val="none"/>
                <w:lang w:eastAsia="zh-CN"/>
              </w:rPr>
              <w:t>GB 3095-2026</w:t>
            </w:r>
            <w:r>
              <w:rPr>
                <w:rFonts w:hint="default" w:ascii="Times New Roman" w:hAnsi="Times New Roman" w:eastAsia="宋体" w:cs="Times New Roman"/>
                <w:color w:val="auto"/>
                <w:spacing w:val="-1"/>
                <w:sz w:val="21"/>
                <w:szCs w:val="21"/>
                <w:highlight w:val="none"/>
              </w:rPr>
              <w:t>）</w:t>
            </w:r>
            <w:r>
              <w:rPr>
                <w:rFonts w:hint="eastAsia" w:ascii="Times New Roman" w:hAnsi="Times New Roman" w:cs="Times New Roman"/>
                <w:color w:val="auto"/>
                <w:spacing w:val="-1"/>
                <w:sz w:val="21"/>
                <w:szCs w:val="21"/>
                <w:highlight w:val="none"/>
                <w:lang w:val="en-US" w:eastAsia="zh-CN"/>
              </w:rPr>
              <w:t>实施之日起至2030年12月31日，环境空气污染物基本项目实施过渡阶段浓度限值。</w:t>
            </w:r>
          </w:p>
          <w:p w14:paraId="0483D68B">
            <w:pPr>
              <w:ind w:firstLine="480"/>
              <w:rPr>
                <w:rFonts w:hint="eastAsia"/>
                <w:color w:val="auto"/>
                <w:highlight w:val="none"/>
              </w:rPr>
            </w:pPr>
            <w:r>
              <w:rPr>
                <w:rFonts w:hint="eastAsia" w:eastAsia="宋体"/>
                <w:color w:val="auto"/>
                <w:sz w:val="24"/>
                <w:highlight w:val="none"/>
                <w:lang w:val="zh-CN"/>
              </w:rPr>
              <w:t>根据</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202</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lang w:eastAsia="zh-CN"/>
              </w:rPr>
              <w:t>年南京市生态环境状况公报</w:t>
            </w:r>
            <w:r>
              <w:rPr>
                <w:rFonts w:hint="default" w:ascii="Times New Roman" w:hAnsi="Times New Roman" w:eastAsia="宋体" w:cs="Times New Roman"/>
                <w:bCs/>
                <w:color w:val="auto"/>
                <w:sz w:val="24"/>
                <w:highlight w:val="none"/>
              </w:rPr>
              <w:t>》</w:t>
            </w:r>
            <w:r>
              <w:rPr>
                <w:rFonts w:hint="eastAsia" w:eastAsia="宋体"/>
                <w:color w:val="auto"/>
                <w:sz w:val="24"/>
                <w:highlight w:val="none"/>
                <w:lang w:val="zh-CN"/>
              </w:rPr>
              <w:t>统计结果，项目所在地六项污染物</w:t>
            </w:r>
            <w:r>
              <w:rPr>
                <w:rFonts w:hint="eastAsia"/>
                <w:color w:val="auto"/>
                <w:sz w:val="24"/>
                <w:highlight w:val="none"/>
                <w:lang w:val="zh-CN"/>
              </w:rPr>
              <w:t>均</w:t>
            </w:r>
            <w:r>
              <w:rPr>
                <w:rFonts w:hint="eastAsia" w:eastAsia="宋体"/>
                <w:color w:val="auto"/>
                <w:sz w:val="24"/>
                <w:highlight w:val="none"/>
                <w:lang w:val="zh-CN"/>
              </w:rPr>
              <w:t>达</w:t>
            </w:r>
            <w:r>
              <w:rPr>
                <w:rFonts w:hint="eastAsia"/>
                <w:color w:val="auto"/>
                <w:sz w:val="24"/>
                <w:highlight w:val="none"/>
                <w:lang w:val="en-US" w:eastAsia="zh-CN"/>
              </w:rPr>
              <w:t>到</w:t>
            </w:r>
            <w:r>
              <w:rPr>
                <w:rFonts w:hint="default" w:ascii="Times New Roman" w:hAnsi="Times New Roman" w:eastAsia="宋体" w:cs="Times New Roman"/>
                <w:color w:val="auto"/>
                <w:spacing w:val="-1"/>
                <w:sz w:val="24"/>
                <w:szCs w:val="24"/>
                <w:highlight w:val="none"/>
              </w:rPr>
              <w:t>《环境空气质量标准》（</w:t>
            </w:r>
            <w:r>
              <w:rPr>
                <w:rFonts w:hint="eastAsia" w:cs="Times New Roman"/>
                <w:color w:val="auto"/>
                <w:spacing w:val="-1"/>
                <w:sz w:val="24"/>
                <w:szCs w:val="24"/>
                <w:highlight w:val="none"/>
                <w:lang w:eastAsia="zh-CN"/>
              </w:rPr>
              <w:t>GB 3095-20</w:t>
            </w:r>
            <w:r>
              <w:rPr>
                <w:rFonts w:hint="eastAsia" w:cs="Times New Roman"/>
                <w:color w:val="auto"/>
                <w:spacing w:val="-1"/>
                <w:sz w:val="24"/>
                <w:szCs w:val="24"/>
                <w:highlight w:val="none"/>
                <w:lang w:val="en-US" w:eastAsia="zh-CN"/>
              </w:rPr>
              <w:t>12</w:t>
            </w:r>
            <w:r>
              <w:rPr>
                <w:rFonts w:hint="default" w:ascii="Times New Roman" w:hAnsi="Times New Roman" w:eastAsia="宋体" w:cs="Times New Roman"/>
                <w:color w:val="auto"/>
                <w:spacing w:val="-1"/>
                <w:sz w:val="24"/>
                <w:szCs w:val="24"/>
                <w:highlight w:val="none"/>
              </w:rPr>
              <w:t>）</w:t>
            </w:r>
            <w:r>
              <w:rPr>
                <w:rFonts w:hint="eastAsia" w:ascii="Times New Roman" w:hAnsi="Times New Roman" w:cs="Times New Roman"/>
                <w:color w:val="auto"/>
                <w:spacing w:val="-1"/>
                <w:sz w:val="24"/>
                <w:szCs w:val="24"/>
                <w:highlight w:val="none"/>
                <w:lang w:val="en-US" w:eastAsia="zh-CN"/>
              </w:rPr>
              <w:t>及</w:t>
            </w:r>
            <w:r>
              <w:rPr>
                <w:rFonts w:hint="default" w:ascii="Times New Roman" w:hAnsi="Times New Roman" w:eastAsia="宋体" w:cs="Times New Roman"/>
                <w:color w:val="auto"/>
                <w:spacing w:val="-1"/>
                <w:sz w:val="24"/>
                <w:szCs w:val="24"/>
                <w:highlight w:val="none"/>
              </w:rPr>
              <w:t>《环境空气质量标准》（</w:t>
            </w:r>
            <w:r>
              <w:rPr>
                <w:rFonts w:hint="eastAsia" w:cs="Times New Roman"/>
                <w:color w:val="auto"/>
                <w:spacing w:val="-1"/>
                <w:sz w:val="24"/>
                <w:szCs w:val="24"/>
                <w:highlight w:val="none"/>
                <w:lang w:eastAsia="zh-CN"/>
              </w:rPr>
              <w:t>GB 3095-2026</w:t>
            </w:r>
            <w:r>
              <w:rPr>
                <w:rFonts w:hint="default" w:ascii="Times New Roman" w:hAnsi="Times New Roman" w:eastAsia="宋体" w:cs="Times New Roman"/>
                <w:color w:val="auto"/>
                <w:spacing w:val="-1"/>
                <w:sz w:val="24"/>
                <w:szCs w:val="24"/>
                <w:highlight w:val="none"/>
              </w:rPr>
              <w:t>）二级标准</w:t>
            </w:r>
            <w:r>
              <w:rPr>
                <w:rFonts w:hint="eastAsia" w:cs="Times New Roman"/>
                <w:color w:val="auto"/>
                <w:spacing w:val="-1"/>
                <w:sz w:val="24"/>
                <w:szCs w:val="24"/>
                <w:highlight w:val="none"/>
                <w:lang w:val="en-US" w:eastAsia="zh-CN"/>
              </w:rPr>
              <w:t>限值</w:t>
            </w:r>
            <w:r>
              <w:rPr>
                <w:rFonts w:hint="eastAsia" w:eastAsia="宋体"/>
                <w:color w:val="auto"/>
                <w:sz w:val="24"/>
                <w:highlight w:val="none"/>
                <w:lang w:val="zh-CN"/>
              </w:rPr>
              <w:t>，项目所在区域为城市环境空气质量达标区</w:t>
            </w:r>
            <w:r>
              <w:rPr>
                <w:rFonts w:hint="eastAsia"/>
                <w:color w:val="auto"/>
                <w:highlight w:val="none"/>
              </w:rPr>
              <w:t>。</w:t>
            </w:r>
          </w:p>
          <w:p w14:paraId="37E22D56">
            <w:pPr>
              <w:ind w:firstLine="480"/>
              <w:rPr>
                <w:rFonts w:hint="default" w:eastAsia="宋体"/>
                <w:color w:val="auto"/>
                <w:highlight w:val="none"/>
                <w:lang w:val="en-US" w:eastAsia="zh-CN"/>
              </w:rPr>
            </w:pPr>
            <w:r>
              <w:rPr>
                <w:rFonts w:hint="eastAsia"/>
                <w:b/>
                <w:bCs/>
                <w:color w:val="auto"/>
                <w:highlight w:val="none"/>
                <w:lang w:val="zh-CN"/>
              </w:rPr>
              <w:t>（</w:t>
            </w:r>
            <w:r>
              <w:rPr>
                <w:rFonts w:hint="eastAsia"/>
                <w:b/>
                <w:bCs/>
                <w:color w:val="auto"/>
                <w:highlight w:val="none"/>
              </w:rPr>
              <w:t>2</w:t>
            </w:r>
            <w:r>
              <w:rPr>
                <w:rFonts w:hint="eastAsia"/>
                <w:b/>
                <w:bCs/>
                <w:color w:val="auto"/>
                <w:highlight w:val="none"/>
                <w:lang w:val="zh-CN"/>
              </w:rPr>
              <w:t>）</w:t>
            </w:r>
            <w:r>
              <w:rPr>
                <w:rFonts w:hint="eastAsia" w:ascii="Times New Roman" w:hAnsi="Times New Roman" w:eastAsia="宋体" w:cs="Times New Roman"/>
                <w:b/>
                <w:bCs/>
                <w:color w:val="auto"/>
                <w:sz w:val="24"/>
                <w:szCs w:val="24"/>
                <w:highlight w:val="none"/>
              </w:rPr>
              <w:t>其他污染物：TSP</w:t>
            </w:r>
          </w:p>
          <w:p w14:paraId="7AF21661">
            <w:pPr>
              <w:bidi w:val="0"/>
              <w:rPr>
                <w:color w:val="auto"/>
                <w:highlight w:val="none"/>
              </w:rPr>
            </w:pPr>
            <w:r>
              <w:rPr>
                <w:color w:val="auto"/>
                <w:highlight w:val="none"/>
              </w:rPr>
              <w:t>根据《建设项目环境影响报告表编制技术指南（污染影响类）（试行）》中相关规定，排放国家、地方环境空气质量标准中有标准限值要求的特征污染物时，引用建设项目周边5千米范围内近3年的现有监测数据或补充现状监测</w:t>
            </w:r>
            <w:r>
              <w:rPr>
                <w:rFonts w:hint="eastAsia"/>
                <w:color w:val="auto"/>
                <w:highlight w:val="none"/>
              </w:rPr>
              <w:t>。根据本项目污染物</w:t>
            </w:r>
            <w:sdt>
              <w:sdtPr>
                <w:rPr>
                  <w:color w:val="auto"/>
                </w:rPr>
                <w:alias w:val="语法错误"/>
                <w:tag w:val="reviewtag_FF0000"/>
                <w:id w:val="3060335"/>
              </w:sdtPr>
              <w:sdtEndPr>
                <w:rPr>
                  <w:color w:val="auto"/>
                </w:rPr>
              </w:sdtEndPr>
              <w:sdtContent>
                <w:bookmarkStart w:id="108" w:name="bkReivew3060335"/>
                <w:r>
                  <w:rPr>
                    <w:rFonts w:hint="eastAsia"/>
                    <w:color w:val="auto"/>
                    <w:highlight w:val="none"/>
                  </w:rPr>
                  <w:t>产生</w:t>
                </w:r>
                <w:bookmarkEnd w:id="108"/>
              </w:sdtContent>
            </w:sdt>
            <w:r>
              <w:rPr>
                <w:rFonts w:hint="eastAsia"/>
                <w:color w:val="auto"/>
                <w:highlight w:val="none"/>
              </w:rPr>
              <w:t>排放情况，选取</w:t>
            </w:r>
            <w:r>
              <w:rPr>
                <w:rFonts w:hint="eastAsia"/>
                <w:color w:val="auto"/>
                <w:highlight w:val="none"/>
                <w:lang w:val="en-US" w:eastAsia="zh-CN"/>
              </w:rPr>
              <w:t>TSP</w:t>
            </w:r>
            <w:r>
              <w:rPr>
                <w:rFonts w:hint="eastAsia"/>
                <w:color w:val="auto"/>
                <w:highlight w:val="none"/>
              </w:rPr>
              <w:t>为特征污染物。</w:t>
            </w:r>
          </w:p>
          <w:p w14:paraId="4F0FD253">
            <w:pPr>
              <w:bidi w:val="0"/>
              <w:rPr>
                <w:rFonts w:hint="default" w:eastAsia="宋体"/>
                <w:b/>
                <w:bCs/>
                <w:color w:val="auto"/>
                <w:highlight w:val="none"/>
                <w:lang w:val="en-US" w:eastAsia="zh-CN"/>
              </w:rPr>
            </w:pPr>
            <w:r>
              <w:rPr>
                <w:rFonts w:hint="eastAsia"/>
                <w:b/>
                <w:bCs/>
                <w:color w:val="auto"/>
                <w:highlight w:val="none"/>
                <w:lang w:val="en-US" w:eastAsia="zh-CN"/>
              </w:rPr>
              <w:t>1）监测布点</w:t>
            </w:r>
          </w:p>
          <w:p w14:paraId="5237ABC2">
            <w:pPr>
              <w:bidi w:val="0"/>
              <w:rPr>
                <w:rFonts w:hint="eastAsia" w:cs="Times New Roman"/>
                <w:color w:val="auto"/>
                <w:highlight w:val="none"/>
                <w:lang w:val="en-US" w:eastAsia="zh-CN"/>
              </w:rPr>
            </w:pPr>
            <w:r>
              <w:rPr>
                <w:color w:val="auto"/>
                <w:sz w:val="24"/>
                <w:highlight w:val="none"/>
              </w:rPr>
              <w:t>本项目</w:t>
            </w:r>
            <w:r>
              <w:rPr>
                <w:rFonts w:hint="eastAsia"/>
                <w:color w:val="auto"/>
                <w:highlight w:val="none"/>
                <w:lang w:val="en-US" w:eastAsia="zh-CN"/>
              </w:rPr>
              <w:t>TSP现状</w:t>
            </w:r>
            <w:r>
              <w:rPr>
                <w:color w:val="auto"/>
                <w:highlight w:val="none"/>
              </w:rPr>
              <w:t>监测数据</w:t>
            </w:r>
            <w:r>
              <w:rPr>
                <w:color w:val="auto"/>
                <w:sz w:val="24"/>
                <w:highlight w:val="none"/>
              </w:rPr>
              <w:t>引用</w:t>
            </w:r>
            <w:r>
              <w:rPr>
                <w:rFonts w:hint="eastAsia"/>
                <w:color w:val="auto"/>
                <w:sz w:val="24"/>
                <w:highlight w:val="none"/>
                <w:lang w:val="en-US" w:eastAsia="zh-CN"/>
              </w:rPr>
              <w:t>南京力升动力科技有限公司委托江苏迈斯特环境检测有限公司的环境空气检测结果</w:t>
            </w:r>
            <w:r>
              <w:rPr>
                <w:color w:val="auto"/>
                <w:sz w:val="24"/>
                <w:highlight w:val="none"/>
              </w:rPr>
              <w:t>，报告编号</w:t>
            </w:r>
            <w:r>
              <w:rPr>
                <w:rFonts w:hint="eastAsia"/>
                <w:color w:val="auto"/>
                <w:sz w:val="24"/>
                <w:highlight w:val="none"/>
                <w:lang w:eastAsia="zh-CN"/>
              </w:rPr>
              <w:t>：</w:t>
            </w:r>
            <w:r>
              <w:rPr>
                <w:rFonts w:hint="eastAsia"/>
                <w:color w:val="auto"/>
                <w:sz w:val="24"/>
                <w:highlight w:val="none"/>
                <w:lang w:val="en-US" w:eastAsia="zh-CN"/>
              </w:rPr>
              <w:t>MST20240909020-1，监测点位G1位于上穆村</w:t>
            </w:r>
            <w:r>
              <w:rPr>
                <w:color w:val="auto"/>
                <w:sz w:val="24"/>
                <w:highlight w:val="none"/>
              </w:rPr>
              <w:t>，</w:t>
            </w:r>
            <w:r>
              <w:rPr>
                <w:rFonts w:hint="eastAsia" w:ascii="Times New Roman" w:hAnsi="Times New Roman" w:eastAsia="宋体" w:cs="Times New Roman"/>
                <w:color w:val="auto"/>
                <w:highlight w:val="none"/>
                <w:lang w:val="en-US" w:eastAsia="zh-CN"/>
              </w:rPr>
              <w:t>该点位位于</w:t>
            </w:r>
            <w:r>
              <w:rPr>
                <w:rFonts w:hint="eastAsia" w:cs="Times New Roman"/>
                <w:color w:val="auto"/>
                <w:highlight w:val="none"/>
                <w:lang w:val="en-US" w:eastAsia="zh-CN"/>
              </w:rPr>
              <w:t>项目所在地</w:t>
            </w:r>
            <w:r>
              <w:rPr>
                <w:rFonts w:hint="eastAsia" w:ascii="Times New Roman" w:hAnsi="Times New Roman" w:cs="Times New Roman"/>
                <w:color w:val="auto"/>
                <w:highlight w:val="none"/>
                <w:lang w:val="en-US" w:eastAsia="zh-CN"/>
              </w:rPr>
              <w:t>西南</w:t>
            </w:r>
            <w:r>
              <w:rPr>
                <w:rFonts w:hint="eastAsia" w:ascii="Times New Roman" w:hAnsi="Times New Roman" w:eastAsia="宋体" w:cs="Times New Roman"/>
                <w:color w:val="auto"/>
                <w:highlight w:val="none"/>
                <w:lang w:val="en-US" w:eastAsia="zh-CN"/>
              </w:rPr>
              <w:t>方向约</w:t>
            </w:r>
            <w:r>
              <w:rPr>
                <w:rFonts w:hint="eastAsia" w:cs="Times New Roman"/>
                <w:color w:val="auto"/>
                <w:highlight w:val="none"/>
                <w:lang w:val="en-US" w:eastAsia="zh-CN"/>
              </w:rPr>
              <w:t>2.9</w:t>
            </w:r>
            <w:r>
              <w:rPr>
                <w:rFonts w:hint="eastAsia" w:ascii="Times New Roman" w:hAnsi="Times New Roman" w:eastAsia="宋体" w:cs="Times New Roman"/>
                <w:color w:val="auto"/>
                <w:highlight w:val="none"/>
                <w:lang w:val="en-US" w:eastAsia="zh-CN"/>
              </w:rPr>
              <w:t>km</w:t>
            </w:r>
            <w:r>
              <w:rPr>
                <w:rFonts w:hint="eastAsia" w:cs="Times New Roman"/>
                <w:color w:val="auto"/>
                <w:highlight w:val="none"/>
                <w:lang w:val="en-US" w:eastAsia="zh-CN"/>
              </w:rPr>
              <w:t>。</w:t>
            </w:r>
            <w:r>
              <w:rPr>
                <w:color w:val="auto"/>
                <w:sz w:val="24"/>
                <w:highlight w:val="none"/>
              </w:rPr>
              <w:t>监测时间为</w:t>
            </w:r>
            <w:r>
              <w:rPr>
                <w:bCs/>
                <w:color w:val="auto"/>
                <w:sz w:val="24"/>
                <w:highlight w:val="none"/>
              </w:rPr>
              <w:t>202</w:t>
            </w:r>
            <w:r>
              <w:rPr>
                <w:rFonts w:hint="eastAsia"/>
                <w:bCs/>
                <w:color w:val="auto"/>
                <w:sz w:val="24"/>
                <w:highlight w:val="none"/>
                <w:lang w:val="en-US" w:eastAsia="zh-CN"/>
              </w:rPr>
              <w:t>4</w:t>
            </w:r>
            <w:r>
              <w:rPr>
                <w:bCs/>
                <w:color w:val="auto"/>
                <w:sz w:val="24"/>
                <w:highlight w:val="none"/>
              </w:rPr>
              <w:t>年</w:t>
            </w:r>
            <w:r>
              <w:rPr>
                <w:rFonts w:hint="eastAsia"/>
                <w:bCs/>
                <w:color w:val="auto"/>
                <w:sz w:val="24"/>
                <w:highlight w:val="none"/>
                <w:lang w:val="en-US" w:eastAsia="zh-CN"/>
              </w:rPr>
              <w:t>9</w:t>
            </w:r>
            <w:r>
              <w:rPr>
                <w:bCs/>
                <w:color w:val="auto"/>
                <w:sz w:val="24"/>
                <w:highlight w:val="none"/>
              </w:rPr>
              <w:t>月</w:t>
            </w:r>
            <w:r>
              <w:rPr>
                <w:rFonts w:hint="eastAsia"/>
                <w:bCs/>
                <w:color w:val="auto"/>
                <w:sz w:val="24"/>
                <w:highlight w:val="none"/>
                <w:lang w:val="en-US" w:eastAsia="zh-CN"/>
              </w:rPr>
              <w:t>17</w:t>
            </w:r>
            <w:r>
              <w:rPr>
                <w:bCs/>
                <w:color w:val="auto"/>
                <w:sz w:val="24"/>
                <w:highlight w:val="none"/>
              </w:rPr>
              <w:t>日</w:t>
            </w:r>
            <w:r>
              <w:rPr>
                <w:rFonts w:hint="eastAsia"/>
                <w:bCs/>
                <w:color w:val="auto"/>
                <w:sz w:val="24"/>
                <w:highlight w:val="none"/>
                <w:lang w:eastAsia="zh-CN"/>
              </w:rPr>
              <w:t>—</w:t>
            </w:r>
            <w:r>
              <w:rPr>
                <w:bCs/>
                <w:color w:val="auto"/>
                <w:sz w:val="24"/>
                <w:highlight w:val="none"/>
              </w:rPr>
              <w:t>202</w:t>
            </w:r>
            <w:r>
              <w:rPr>
                <w:rFonts w:hint="eastAsia"/>
                <w:bCs/>
                <w:color w:val="auto"/>
                <w:sz w:val="24"/>
                <w:highlight w:val="none"/>
                <w:lang w:val="en-US" w:eastAsia="zh-CN"/>
              </w:rPr>
              <w:t>4</w:t>
            </w:r>
            <w:r>
              <w:rPr>
                <w:bCs/>
                <w:color w:val="auto"/>
                <w:sz w:val="24"/>
                <w:highlight w:val="none"/>
              </w:rPr>
              <w:t>年</w:t>
            </w:r>
            <w:r>
              <w:rPr>
                <w:rFonts w:hint="eastAsia"/>
                <w:bCs/>
                <w:color w:val="auto"/>
                <w:sz w:val="24"/>
                <w:highlight w:val="none"/>
                <w:lang w:val="en-US" w:eastAsia="zh-CN"/>
              </w:rPr>
              <w:t>9</w:t>
            </w:r>
            <w:r>
              <w:rPr>
                <w:bCs/>
                <w:color w:val="auto"/>
                <w:sz w:val="24"/>
                <w:highlight w:val="none"/>
              </w:rPr>
              <w:t>月</w:t>
            </w:r>
            <w:r>
              <w:rPr>
                <w:rFonts w:hint="eastAsia"/>
                <w:bCs/>
                <w:color w:val="auto"/>
                <w:sz w:val="24"/>
                <w:highlight w:val="none"/>
                <w:lang w:val="en-US" w:eastAsia="zh-CN"/>
              </w:rPr>
              <w:t>23</w:t>
            </w:r>
            <w:r>
              <w:rPr>
                <w:bCs/>
                <w:color w:val="auto"/>
                <w:sz w:val="24"/>
                <w:highlight w:val="none"/>
              </w:rPr>
              <w:t>日，</w:t>
            </w:r>
            <w:r>
              <w:rPr>
                <w:rFonts w:hint="eastAsia" w:cs="Times New Roman"/>
                <w:color w:val="auto"/>
                <w:highlight w:val="none"/>
                <w:lang w:val="en-US" w:eastAsia="zh-CN"/>
              </w:rPr>
              <w:t>引用数据监测点位在本项目周边5km范围内，且监测时间在3年内，引用项目现状监测数据是有效的。</w:t>
            </w:r>
          </w:p>
          <w:p w14:paraId="4CA53EC1">
            <w:pPr>
              <w:bidi w:val="0"/>
              <w:rPr>
                <w:rFonts w:hint="eastAsia" w:ascii="Times New Roman" w:hAnsi="Times New Roman" w:eastAsia="宋体" w:cs="Times New Roman"/>
                <w:color w:val="auto"/>
                <w:highlight w:val="none"/>
              </w:rPr>
            </w:pPr>
            <w:r>
              <w:rPr>
                <w:rFonts w:ascii="Times New Roman" w:hAnsi="Times New Roman" w:eastAsia="宋体" w:cs="Times New Roman"/>
                <w:color w:val="auto"/>
                <w:highlight w:val="none"/>
              </w:rPr>
              <w:t>监测点位布设见</w:t>
            </w:r>
            <w:r>
              <w:rPr>
                <w:rFonts w:hint="eastAsia" w:ascii="Times New Roman" w:hAnsi="Times New Roman" w:eastAsia="宋体" w:cs="Times New Roman"/>
                <w:color w:val="auto"/>
                <w:highlight w:val="none"/>
              </w:rPr>
              <w:t>下图。</w:t>
            </w:r>
          </w:p>
          <w:p w14:paraId="31E3751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highlight w:val="yellow"/>
                <w:lang w:eastAsia="zh-CN"/>
              </w:rPr>
            </w:pPr>
            <w:r>
              <w:rPr>
                <w:color w:val="auto"/>
              </w:rPr>
              <w:drawing>
                <wp:inline distT="0" distB="0" distL="114300" distR="114300">
                  <wp:extent cx="4745990" cy="4087495"/>
                  <wp:effectExtent l="0" t="0" r="16510" b="825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1"/>
                          <a:stretch>
                            <a:fillRect/>
                          </a:stretch>
                        </pic:blipFill>
                        <pic:spPr>
                          <a:xfrm>
                            <a:off x="0" y="0"/>
                            <a:ext cx="4745990" cy="4087495"/>
                          </a:xfrm>
                          <a:prstGeom prst="rect">
                            <a:avLst/>
                          </a:prstGeom>
                          <a:noFill/>
                          <a:ln>
                            <a:noFill/>
                          </a:ln>
                        </pic:spPr>
                      </pic:pic>
                    </a:graphicData>
                  </a:graphic>
                </wp:inline>
              </w:drawing>
            </w:r>
          </w:p>
          <w:p w14:paraId="3BA9463A">
            <w:pPr>
              <w:pStyle w:val="12"/>
              <w:spacing w:before="0" w:after="0" w:line="240" w:lineRule="auto"/>
              <w:ind w:right="0" w:firstLine="0" w:firstLineChars="0"/>
              <w:jc w:val="center"/>
              <w:rPr>
                <w:b/>
                <w:color w:val="auto"/>
                <w:szCs w:val="22"/>
                <w:highlight w:val="none"/>
              </w:rPr>
            </w:pPr>
            <w:r>
              <w:rPr>
                <w:rFonts w:hint="eastAsia"/>
                <w:b/>
                <w:color w:val="auto"/>
                <w:szCs w:val="22"/>
                <w:highlight w:val="none"/>
              </w:rPr>
              <w:t>图3-1  项目</w:t>
            </w:r>
            <w:r>
              <w:rPr>
                <w:rFonts w:hint="eastAsia"/>
                <w:b/>
                <w:color w:val="auto"/>
                <w:szCs w:val="22"/>
                <w:highlight w:val="none"/>
                <w:lang w:val="en-US" w:eastAsia="zh-CN"/>
              </w:rPr>
              <w:t>引用</w:t>
            </w:r>
            <w:r>
              <w:rPr>
                <w:rFonts w:hint="eastAsia"/>
                <w:b/>
                <w:color w:val="auto"/>
                <w:szCs w:val="22"/>
                <w:highlight w:val="none"/>
              </w:rPr>
              <w:t>监测点位</w:t>
            </w:r>
            <w:r>
              <w:rPr>
                <w:rFonts w:hint="eastAsia"/>
                <w:b/>
                <w:color w:val="auto"/>
                <w:szCs w:val="22"/>
                <w:highlight w:val="none"/>
                <w:lang w:val="en-US" w:eastAsia="zh-CN"/>
              </w:rPr>
              <w:t>相对项目位置</w:t>
            </w:r>
            <w:r>
              <w:rPr>
                <w:rFonts w:hint="eastAsia"/>
                <w:b/>
                <w:color w:val="auto"/>
                <w:szCs w:val="22"/>
                <w:highlight w:val="none"/>
              </w:rPr>
              <w:t>图</w:t>
            </w:r>
          </w:p>
          <w:p w14:paraId="141F2E04">
            <w:pPr>
              <w:keepNext w:val="0"/>
              <w:keepLines w:val="0"/>
              <w:pageBreakBefore w:val="0"/>
              <w:widowControl w:val="0"/>
              <w:kinsoku/>
              <w:wordWrap/>
              <w:overflowPunct/>
              <w:topLinePunct w:val="0"/>
              <w:autoSpaceDE/>
              <w:autoSpaceDN/>
              <w:bidi w:val="0"/>
              <w:spacing w:line="440" w:lineRule="exact"/>
              <w:ind w:firstLine="482"/>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2）监测时间及频次</w:t>
            </w:r>
          </w:p>
          <w:p w14:paraId="6A27735B">
            <w:pPr>
              <w:keepNext w:val="0"/>
              <w:keepLines w:val="0"/>
              <w:pageBreakBefore w:val="0"/>
              <w:widowControl w:val="0"/>
              <w:kinsoku/>
              <w:wordWrap/>
              <w:overflowPunct/>
              <w:topLinePunct w:val="0"/>
              <w:autoSpaceDE/>
              <w:autoSpaceDN/>
              <w:bidi w:val="0"/>
              <w:spacing w:line="440" w:lineRule="exact"/>
              <w:ind w:firstLine="480"/>
              <w:textAlignment w:val="auto"/>
              <w:rPr>
                <w:rFonts w:hint="default" w:ascii="Times New Roman" w:hAnsi="Times New Roman" w:cs="Times New Roman"/>
                <w:color w:val="auto"/>
                <w:highlight w:val="none"/>
              </w:rPr>
            </w:pPr>
            <w:r>
              <w:rPr>
                <w:color w:val="auto"/>
                <w:sz w:val="24"/>
                <w:highlight w:val="none"/>
              </w:rPr>
              <w:t>监测时间为</w:t>
            </w:r>
            <w:r>
              <w:rPr>
                <w:bCs/>
                <w:color w:val="auto"/>
                <w:sz w:val="24"/>
                <w:highlight w:val="none"/>
              </w:rPr>
              <w:t>202</w:t>
            </w:r>
            <w:r>
              <w:rPr>
                <w:rFonts w:hint="eastAsia"/>
                <w:bCs/>
                <w:color w:val="auto"/>
                <w:sz w:val="24"/>
                <w:highlight w:val="none"/>
                <w:lang w:val="en-US" w:eastAsia="zh-CN"/>
              </w:rPr>
              <w:t>4</w:t>
            </w:r>
            <w:r>
              <w:rPr>
                <w:bCs/>
                <w:color w:val="auto"/>
                <w:sz w:val="24"/>
                <w:highlight w:val="none"/>
              </w:rPr>
              <w:t>年</w:t>
            </w:r>
            <w:r>
              <w:rPr>
                <w:rFonts w:hint="eastAsia"/>
                <w:bCs/>
                <w:color w:val="auto"/>
                <w:sz w:val="24"/>
                <w:highlight w:val="none"/>
                <w:lang w:val="en-US" w:eastAsia="zh-CN"/>
              </w:rPr>
              <w:t>9</w:t>
            </w:r>
            <w:r>
              <w:rPr>
                <w:bCs/>
                <w:color w:val="auto"/>
                <w:sz w:val="24"/>
                <w:highlight w:val="none"/>
              </w:rPr>
              <w:t>月</w:t>
            </w:r>
            <w:r>
              <w:rPr>
                <w:rFonts w:hint="eastAsia"/>
                <w:bCs/>
                <w:color w:val="auto"/>
                <w:sz w:val="24"/>
                <w:highlight w:val="none"/>
                <w:lang w:val="en-US" w:eastAsia="zh-CN"/>
              </w:rPr>
              <w:t>17</w:t>
            </w:r>
            <w:r>
              <w:rPr>
                <w:bCs/>
                <w:color w:val="auto"/>
                <w:sz w:val="24"/>
                <w:highlight w:val="none"/>
              </w:rPr>
              <w:t>日</w:t>
            </w:r>
            <w:r>
              <w:rPr>
                <w:rFonts w:hint="eastAsia"/>
                <w:bCs/>
                <w:color w:val="auto"/>
                <w:sz w:val="24"/>
                <w:highlight w:val="none"/>
                <w:lang w:eastAsia="zh-CN"/>
              </w:rPr>
              <w:t>—</w:t>
            </w:r>
            <w:r>
              <w:rPr>
                <w:bCs/>
                <w:color w:val="auto"/>
                <w:sz w:val="24"/>
                <w:highlight w:val="none"/>
              </w:rPr>
              <w:t>202</w:t>
            </w:r>
            <w:r>
              <w:rPr>
                <w:rFonts w:hint="eastAsia"/>
                <w:bCs/>
                <w:color w:val="auto"/>
                <w:sz w:val="24"/>
                <w:highlight w:val="none"/>
                <w:lang w:val="en-US" w:eastAsia="zh-CN"/>
              </w:rPr>
              <w:t>4</w:t>
            </w:r>
            <w:r>
              <w:rPr>
                <w:bCs/>
                <w:color w:val="auto"/>
                <w:sz w:val="24"/>
                <w:highlight w:val="none"/>
              </w:rPr>
              <w:t>年</w:t>
            </w:r>
            <w:r>
              <w:rPr>
                <w:rFonts w:hint="eastAsia"/>
                <w:bCs/>
                <w:color w:val="auto"/>
                <w:sz w:val="24"/>
                <w:highlight w:val="none"/>
                <w:lang w:val="en-US" w:eastAsia="zh-CN"/>
              </w:rPr>
              <w:t>9</w:t>
            </w:r>
            <w:r>
              <w:rPr>
                <w:bCs/>
                <w:color w:val="auto"/>
                <w:sz w:val="24"/>
                <w:highlight w:val="none"/>
              </w:rPr>
              <w:t>月</w:t>
            </w:r>
            <w:r>
              <w:rPr>
                <w:rFonts w:hint="eastAsia"/>
                <w:bCs/>
                <w:color w:val="auto"/>
                <w:sz w:val="24"/>
                <w:highlight w:val="none"/>
                <w:lang w:val="en-US" w:eastAsia="zh-CN"/>
              </w:rPr>
              <w:t>23</w:t>
            </w:r>
            <w:r>
              <w:rPr>
                <w:bCs/>
                <w:color w:val="auto"/>
                <w:sz w:val="24"/>
                <w:highlight w:val="none"/>
              </w:rPr>
              <w:t>日，</w:t>
            </w:r>
            <w:r>
              <w:rPr>
                <w:rFonts w:hint="default" w:ascii="Times New Roman" w:hAnsi="Times New Roman" w:cs="Times New Roman"/>
                <w:color w:val="auto"/>
                <w:highlight w:val="none"/>
              </w:rPr>
              <w:t>连续监测7天。</w:t>
            </w:r>
          </w:p>
          <w:p w14:paraId="66FBA5C6">
            <w:pPr>
              <w:bidi w:val="0"/>
              <w:rPr>
                <w:rFonts w:hint="eastAsia"/>
                <w:b/>
                <w:bCs/>
                <w:color w:val="auto"/>
                <w:highlight w:val="none"/>
              </w:rPr>
            </w:pPr>
            <w:r>
              <w:rPr>
                <w:rFonts w:hint="eastAsia"/>
                <w:b/>
                <w:bCs/>
                <w:color w:val="auto"/>
                <w:highlight w:val="none"/>
                <w:lang w:val="en-US" w:eastAsia="zh-CN"/>
              </w:rPr>
              <w:t>3</w:t>
            </w:r>
            <w:r>
              <w:rPr>
                <w:rFonts w:hint="default" w:ascii="Times New Roman" w:hAnsi="Times New Roman" w:cs="Times New Roman"/>
                <w:b/>
                <w:bCs/>
                <w:color w:val="auto"/>
                <w:highlight w:val="none"/>
              </w:rPr>
              <w:t>）</w:t>
            </w:r>
            <w:r>
              <w:rPr>
                <w:rFonts w:hint="eastAsia"/>
                <w:b/>
                <w:bCs/>
                <w:color w:val="auto"/>
                <w:highlight w:val="none"/>
              </w:rPr>
              <w:t>监测结果及评价</w:t>
            </w:r>
          </w:p>
          <w:p w14:paraId="4569386D">
            <w:pPr>
              <w:bidi w:val="0"/>
              <w:rPr>
                <w:rFonts w:hint="eastAsia"/>
                <w:color w:val="auto"/>
                <w:highlight w:val="none"/>
              </w:rPr>
            </w:pPr>
            <w:r>
              <w:rPr>
                <w:rFonts w:hint="eastAsia"/>
                <w:color w:val="auto"/>
                <w:highlight w:val="none"/>
              </w:rPr>
              <w:t>环境空气质量现状监测结果见表3-</w:t>
            </w:r>
            <w:r>
              <w:rPr>
                <w:rFonts w:hint="eastAsia"/>
                <w:color w:val="auto"/>
                <w:highlight w:val="none"/>
                <w:lang w:val="en-US" w:eastAsia="zh-CN"/>
              </w:rPr>
              <w:t>2</w:t>
            </w:r>
            <w:r>
              <w:rPr>
                <w:rFonts w:hint="eastAsia"/>
                <w:color w:val="auto"/>
                <w:highlight w:val="none"/>
              </w:rPr>
              <w:t>。</w:t>
            </w:r>
          </w:p>
          <w:p w14:paraId="2D7F0BD7">
            <w:pPr>
              <w:bidi w:val="0"/>
              <w:rPr>
                <w:rFonts w:hint="eastAsia"/>
                <w:color w:val="auto"/>
                <w:highlight w:val="none"/>
              </w:rPr>
            </w:pPr>
          </w:p>
          <w:p w14:paraId="74DAE548">
            <w:pPr>
              <w:bidi w:val="0"/>
              <w:rPr>
                <w:rFonts w:hint="eastAsia"/>
                <w:color w:val="auto"/>
                <w:highlight w:val="none"/>
              </w:rPr>
            </w:pPr>
          </w:p>
          <w:p w14:paraId="6ACAAD0F">
            <w:pPr>
              <w:pStyle w:val="51"/>
              <w:spacing w:before="120"/>
              <w:ind w:firstLine="482"/>
              <w:rPr>
                <w:color w:val="auto"/>
                <w:highlight w:val="none"/>
              </w:rPr>
            </w:pPr>
            <w:r>
              <w:rPr>
                <w:color w:val="auto"/>
                <w:highlight w:val="none"/>
              </w:rPr>
              <w:t>其他污染物环境空气质量现状监测结果</w:t>
            </w:r>
          </w:p>
          <w:tbl>
            <w:tblPr>
              <w:tblStyle w:val="33"/>
              <w:tblW w:w="838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71"/>
              <w:gridCol w:w="1666"/>
              <w:gridCol w:w="855"/>
              <w:gridCol w:w="960"/>
              <w:gridCol w:w="1205"/>
              <w:gridCol w:w="1155"/>
              <w:gridCol w:w="752"/>
              <w:gridCol w:w="724"/>
            </w:tblGrid>
            <w:tr w14:paraId="256200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71" w:type="dxa"/>
                  <w:vMerge w:val="restart"/>
                  <w:tcBorders>
                    <w:tl2br w:val="nil"/>
                    <w:tr2bl w:val="nil"/>
                  </w:tcBorders>
                  <w:vAlign w:val="center"/>
                </w:tcPr>
                <w:p w14:paraId="19E9576B">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监测点位</w:t>
                  </w:r>
                </w:p>
              </w:tc>
              <w:tc>
                <w:tcPr>
                  <w:tcW w:w="1666" w:type="dxa"/>
                  <w:vMerge w:val="restart"/>
                  <w:tcBorders>
                    <w:tl2br w:val="nil"/>
                    <w:tr2bl w:val="nil"/>
                  </w:tcBorders>
                  <w:vAlign w:val="center"/>
                </w:tcPr>
                <w:p w14:paraId="2626BB98">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污染物</w:t>
                  </w:r>
                </w:p>
              </w:tc>
              <w:tc>
                <w:tcPr>
                  <w:tcW w:w="855" w:type="dxa"/>
                  <w:vMerge w:val="restart"/>
                  <w:tcBorders>
                    <w:tl2br w:val="nil"/>
                    <w:tr2bl w:val="nil"/>
                  </w:tcBorders>
                  <w:vAlign w:val="center"/>
                </w:tcPr>
                <w:p w14:paraId="5938B261">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平均时间</w:t>
                  </w:r>
                </w:p>
              </w:tc>
              <w:tc>
                <w:tcPr>
                  <w:tcW w:w="960" w:type="dxa"/>
                  <w:vMerge w:val="restart"/>
                  <w:tcBorders>
                    <w:tl2br w:val="nil"/>
                    <w:tr2bl w:val="nil"/>
                  </w:tcBorders>
                  <w:vAlign w:val="center"/>
                </w:tcPr>
                <w:p w14:paraId="2984EEA1">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评价标准/</w:t>
                  </w:r>
                  <w:r>
                    <w:rPr>
                      <w:rFonts w:hint="default" w:ascii="Times New Roman" w:hAnsi="Times New Roman" w:cs="Times New Roman"/>
                      <w:b/>
                      <w:bCs/>
                      <w:color w:val="auto"/>
                      <w:highlight w:val="none"/>
                      <w:lang w:val="en-US" w:eastAsia="zh-CN"/>
                    </w:rPr>
                    <w:t>μ</w:t>
                  </w:r>
                  <w:r>
                    <w:rPr>
                      <w:rFonts w:hint="default" w:ascii="Times New Roman" w:hAnsi="Times New Roman" w:cs="Times New Roman"/>
                      <w:b/>
                      <w:bCs/>
                      <w:color w:val="auto"/>
                      <w:highlight w:val="none"/>
                    </w:rPr>
                    <w:t>g/m</w:t>
                  </w:r>
                  <w:r>
                    <w:rPr>
                      <w:rFonts w:hint="default" w:ascii="Times New Roman" w:hAnsi="Times New Roman" w:cs="Times New Roman"/>
                      <w:b/>
                      <w:bCs/>
                      <w:color w:val="auto"/>
                      <w:highlight w:val="none"/>
                      <w:vertAlign w:val="superscript"/>
                    </w:rPr>
                    <w:t>3</w:t>
                  </w:r>
                </w:p>
              </w:tc>
              <w:tc>
                <w:tcPr>
                  <w:tcW w:w="1205" w:type="dxa"/>
                  <w:vMerge w:val="restart"/>
                  <w:tcBorders>
                    <w:tl2br w:val="nil"/>
                    <w:tr2bl w:val="nil"/>
                  </w:tcBorders>
                  <w:vAlign w:val="center"/>
                </w:tcPr>
                <w:p w14:paraId="4C116542">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监测浓度范围/</w:t>
                  </w:r>
                  <w:r>
                    <w:rPr>
                      <w:rFonts w:hint="eastAsia" w:cs="Times New Roman"/>
                      <w:b/>
                      <w:bCs/>
                      <w:color w:val="auto"/>
                      <w:highlight w:val="none"/>
                      <w:lang w:val="en-US" w:eastAsia="zh-CN"/>
                    </w:rPr>
                    <w:t>m</w:t>
                  </w:r>
                  <w:r>
                    <w:rPr>
                      <w:rFonts w:hint="default" w:ascii="Times New Roman" w:hAnsi="Times New Roman" w:cs="Times New Roman"/>
                      <w:b/>
                      <w:bCs/>
                      <w:color w:val="auto"/>
                      <w:highlight w:val="none"/>
                    </w:rPr>
                    <w:t>g/m</w:t>
                  </w:r>
                  <w:r>
                    <w:rPr>
                      <w:rFonts w:hint="default" w:ascii="Times New Roman" w:hAnsi="Times New Roman" w:cs="Times New Roman"/>
                      <w:b/>
                      <w:bCs/>
                      <w:color w:val="auto"/>
                      <w:highlight w:val="none"/>
                      <w:vertAlign w:val="superscript"/>
                    </w:rPr>
                    <w:t>3</w:t>
                  </w:r>
                </w:p>
              </w:tc>
              <w:tc>
                <w:tcPr>
                  <w:tcW w:w="1155" w:type="dxa"/>
                  <w:vMerge w:val="restart"/>
                  <w:tcBorders>
                    <w:tl2br w:val="nil"/>
                    <w:tr2bl w:val="nil"/>
                  </w:tcBorders>
                  <w:vAlign w:val="center"/>
                </w:tcPr>
                <w:p w14:paraId="104AB016">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最大浓度</w:t>
                  </w:r>
                </w:p>
                <w:p w14:paraId="3C26C651">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占标率/%</w:t>
                  </w:r>
                </w:p>
              </w:tc>
              <w:tc>
                <w:tcPr>
                  <w:tcW w:w="752" w:type="dxa"/>
                  <w:vMerge w:val="restart"/>
                  <w:tcBorders>
                    <w:tl2br w:val="nil"/>
                    <w:tr2bl w:val="nil"/>
                  </w:tcBorders>
                  <w:vAlign w:val="center"/>
                </w:tcPr>
                <w:p w14:paraId="1182AFF3">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超标率/%</w:t>
                  </w:r>
                </w:p>
              </w:tc>
              <w:tc>
                <w:tcPr>
                  <w:tcW w:w="724" w:type="dxa"/>
                  <w:vMerge w:val="restart"/>
                  <w:tcBorders>
                    <w:tl2br w:val="nil"/>
                    <w:tr2bl w:val="nil"/>
                  </w:tcBorders>
                  <w:vAlign w:val="center"/>
                </w:tcPr>
                <w:p w14:paraId="092C30CE">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达标</w:t>
                  </w:r>
                </w:p>
                <w:p w14:paraId="61227AC9">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情况</w:t>
                  </w:r>
                </w:p>
              </w:tc>
            </w:tr>
            <w:tr w14:paraId="1ADF07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1071" w:type="dxa"/>
                  <w:vMerge w:val="continue"/>
                  <w:tcBorders>
                    <w:tl2br w:val="nil"/>
                    <w:tr2bl w:val="nil"/>
                  </w:tcBorders>
                  <w:vAlign w:val="center"/>
                </w:tcPr>
                <w:p w14:paraId="19CC87A7">
                  <w:pPr>
                    <w:pStyle w:val="48"/>
                    <w:rPr>
                      <w:color w:val="auto"/>
                      <w:highlight w:val="none"/>
                    </w:rPr>
                  </w:pPr>
                </w:p>
              </w:tc>
              <w:tc>
                <w:tcPr>
                  <w:tcW w:w="1666" w:type="dxa"/>
                  <w:vMerge w:val="continue"/>
                  <w:tcBorders>
                    <w:tl2br w:val="nil"/>
                    <w:tr2bl w:val="nil"/>
                  </w:tcBorders>
                  <w:vAlign w:val="center"/>
                </w:tcPr>
                <w:p w14:paraId="5F6B67B8">
                  <w:pPr>
                    <w:pStyle w:val="48"/>
                    <w:rPr>
                      <w:color w:val="auto"/>
                      <w:highlight w:val="none"/>
                    </w:rPr>
                  </w:pPr>
                </w:p>
              </w:tc>
              <w:tc>
                <w:tcPr>
                  <w:tcW w:w="855" w:type="dxa"/>
                  <w:vMerge w:val="continue"/>
                  <w:tcBorders>
                    <w:tl2br w:val="nil"/>
                    <w:tr2bl w:val="nil"/>
                  </w:tcBorders>
                  <w:vAlign w:val="center"/>
                </w:tcPr>
                <w:p w14:paraId="2EDCF6D1">
                  <w:pPr>
                    <w:pStyle w:val="48"/>
                    <w:rPr>
                      <w:color w:val="auto"/>
                      <w:highlight w:val="none"/>
                    </w:rPr>
                  </w:pPr>
                </w:p>
              </w:tc>
              <w:tc>
                <w:tcPr>
                  <w:tcW w:w="960" w:type="dxa"/>
                  <w:vMerge w:val="continue"/>
                  <w:tcBorders>
                    <w:tl2br w:val="nil"/>
                    <w:tr2bl w:val="nil"/>
                  </w:tcBorders>
                  <w:vAlign w:val="center"/>
                </w:tcPr>
                <w:p w14:paraId="3529DA0F">
                  <w:pPr>
                    <w:pStyle w:val="48"/>
                    <w:rPr>
                      <w:color w:val="auto"/>
                      <w:highlight w:val="none"/>
                    </w:rPr>
                  </w:pPr>
                </w:p>
              </w:tc>
              <w:tc>
                <w:tcPr>
                  <w:tcW w:w="1205" w:type="dxa"/>
                  <w:vMerge w:val="continue"/>
                  <w:tcBorders>
                    <w:tl2br w:val="nil"/>
                    <w:tr2bl w:val="nil"/>
                  </w:tcBorders>
                  <w:vAlign w:val="center"/>
                </w:tcPr>
                <w:p w14:paraId="34D8E90F">
                  <w:pPr>
                    <w:pStyle w:val="48"/>
                    <w:rPr>
                      <w:color w:val="auto"/>
                      <w:highlight w:val="none"/>
                    </w:rPr>
                  </w:pPr>
                </w:p>
              </w:tc>
              <w:tc>
                <w:tcPr>
                  <w:tcW w:w="1155" w:type="dxa"/>
                  <w:vMerge w:val="continue"/>
                  <w:tcBorders>
                    <w:tl2br w:val="nil"/>
                    <w:tr2bl w:val="nil"/>
                  </w:tcBorders>
                  <w:vAlign w:val="center"/>
                </w:tcPr>
                <w:p w14:paraId="01F8F93F">
                  <w:pPr>
                    <w:pStyle w:val="48"/>
                    <w:rPr>
                      <w:color w:val="auto"/>
                      <w:highlight w:val="none"/>
                    </w:rPr>
                  </w:pPr>
                </w:p>
              </w:tc>
              <w:tc>
                <w:tcPr>
                  <w:tcW w:w="752" w:type="dxa"/>
                  <w:vMerge w:val="continue"/>
                  <w:tcBorders>
                    <w:tl2br w:val="nil"/>
                    <w:tr2bl w:val="nil"/>
                  </w:tcBorders>
                  <w:vAlign w:val="center"/>
                </w:tcPr>
                <w:p w14:paraId="7F3ECCF5">
                  <w:pPr>
                    <w:pStyle w:val="48"/>
                    <w:rPr>
                      <w:color w:val="auto"/>
                      <w:highlight w:val="none"/>
                    </w:rPr>
                  </w:pPr>
                </w:p>
              </w:tc>
              <w:tc>
                <w:tcPr>
                  <w:tcW w:w="724" w:type="dxa"/>
                  <w:vMerge w:val="continue"/>
                  <w:tcBorders>
                    <w:tl2br w:val="nil"/>
                    <w:tr2bl w:val="nil"/>
                  </w:tcBorders>
                  <w:vAlign w:val="center"/>
                </w:tcPr>
                <w:p w14:paraId="6C0D44F4">
                  <w:pPr>
                    <w:pStyle w:val="48"/>
                    <w:rPr>
                      <w:color w:val="auto"/>
                      <w:highlight w:val="none"/>
                    </w:rPr>
                  </w:pPr>
                </w:p>
              </w:tc>
            </w:tr>
            <w:tr w14:paraId="49104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8" w:hRule="atLeast"/>
              </w:trPr>
              <w:tc>
                <w:tcPr>
                  <w:tcW w:w="1071" w:type="dxa"/>
                  <w:tcBorders>
                    <w:tl2br w:val="nil"/>
                    <w:tr2bl w:val="nil"/>
                  </w:tcBorders>
                  <w:shd w:val="clear" w:color="auto" w:fill="auto"/>
                  <w:vAlign w:val="center"/>
                </w:tcPr>
                <w:p w14:paraId="5E365110">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sz w:val="21"/>
                      <w:szCs w:val="21"/>
                      <w:highlight w:val="none"/>
                      <w:lang w:val="en-US" w:eastAsia="zh-CN"/>
                    </w:rPr>
                    <w:t>上穆村G1</w:t>
                  </w:r>
                </w:p>
              </w:tc>
              <w:tc>
                <w:tcPr>
                  <w:tcW w:w="1666" w:type="dxa"/>
                  <w:tcBorders>
                    <w:tl2br w:val="nil"/>
                    <w:tr2bl w:val="nil"/>
                  </w:tcBorders>
                  <w:shd w:val="clear" w:color="auto" w:fill="auto"/>
                  <w:vAlign w:val="center"/>
                </w:tcPr>
                <w:p w14:paraId="5EA9667D">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总悬浮颗粒物</w:t>
                  </w:r>
                </w:p>
              </w:tc>
              <w:tc>
                <w:tcPr>
                  <w:tcW w:w="855" w:type="dxa"/>
                  <w:tcBorders>
                    <w:tl2br w:val="nil"/>
                    <w:tr2bl w:val="nil"/>
                  </w:tcBorders>
                  <w:shd w:val="clear" w:color="auto" w:fill="auto"/>
                  <w:vAlign w:val="center"/>
                </w:tcPr>
                <w:p w14:paraId="77E901AB">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日均值</w:t>
                  </w:r>
                </w:p>
              </w:tc>
              <w:tc>
                <w:tcPr>
                  <w:tcW w:w="960" w:type="dxa"/>
                  <w:tcBorders>
                    <w:tl2br w:val="nil"/>
                    <w:tr2bl w:val="nil"/>
                  </w:tcBorders>
                  <w:shd w:val="clear" w:color="auto" w:fill="auto"/>
                  <w:vAlign w:val="center"/>
                </w:tcPr>
                <w:p w14:paraId="7D279C3D">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300</w:t>
                  </w:r>
                </w:p>
              </w:tc>
              <w:tc>
                <w:tcPr>
                  <w:tcW w:w="1205" w:type="dxa"/>
                  <w:tcBorders>
                    <w:tl2br w:val="nil"/>
                    <w:tr2bl w:val="nil"/>
                  </w:tcBorders>
                  <w:shd w:val="clear" w:color="auto" w:fill="auto"/>
                  <w:vAlign w:val="center"/>
                </w:tcPr>
                <w:p w14:paraId="0D4D0412">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0.162-0.187</w:t>
                  </w:r>
                </w:p>
              </w:tc>
              <w:tc>
                <w:tcPr>
                  <w:tcW w:w="1155" w:type="dxa"/>
                  <w:tcBorders>
                    <w:tl2br w:val="nil"/>
                    <w:tr2bl w:val="nil"/>
                  </w:tcBorders>
                  <w:shd w:val="clear" w:color="auto" w:fill="auto"/>
                  <w:vAlign w:val="center"/>
                </w:tcPr>
                <w:p w14:paraId="633DE1D4">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62</w:t>
                  </w:r>
                </w:p>
              </w:tc>
              <w:tc>
                <w:tcPr>
                  <w:tcW w:w="752" w:type="dxa"/>
                  <w:tcBorders>
                    <w:tl2br w:val="nil"/>
                    <w:tr2bl w:val="nil"/>
                  </w:tcBorders>
                  <w:shd w:val="clear" w:color="auto" w:fill="auto"/>
                  <w:vAlign w:val="center"/>
                </w:tcPr>
                <w:p w14:paraId="24E1C7E5">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0</w:t>
                  </w:r>
                </w:p>
              </w:tc>
              <w:tc>
                <w:tcPr>
                  <w:tcW w:w="724" w:type="dxa"/>
                  <w:tcBorders>
                    <w:tl2br w:val="nil"/>
                    <w:tr2bl w:val="nil"/>
                  </w:tcBorders>
                  <w:shd w:val="clear" w:color="auto" w:fill="auto"/>
                  <w:vAlign w:val="center"/>
                </w:tcPr>
                <w:p w14:paraId="59CC3A8B">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达标</w:t>
                  </w:r>
                </w:p>
              </w:tc>
            </w:tr>
          </w:tbl>
          <w:p w14:paraId="7038CC0E">
            <w:pPr>
              <w:bidi w:val="0"/>
              <w:rPr>
                <w:rFonts w:hint="default" w:ascii="Times New Roman" w:hAnsi="Times New Roman" w:cs="Times New Roman"/>
                <w:color w:val="auto"/>
                <w:sz w:val="24"/>
                <w:highlight w:val="none"/>
                <w:lang w:val="en-US" w:eastAsia="zh-CN"/>
              </w:rPr>
            </w:pPr>
            <w:r>
              <w:rPr>
                <w:color w:val="auto"/>
              </w:rPr>
              <w:t>由</w:t>
            </w:r>
            <w:r>
              <w:rPr>
                <w:rFonts w:hint="eastAsia"/>
                <w:color w:val="auto"/>
                <w:lang w:val="en-US" w:eastAsia="zh-CN"/>
              </w:rPr>
              <w:t>上表分析结果可知</w:t>
            </w:r>
            <w:r>
              <w:rPr>
                <w:color w:val="auto"/>
              </w:rPr>
              <w:t>，</w:t>
            </w:r>
            <w:r>
              <w:rPr>
                <w:rFonts w:hint="eastAsia"/>
                <w:color w:val="auto"/>
                <w:lang w:val="en-US" w:eastAsia="zh-CN"/>
              </w:rPr>
              <w:t>TSP日均</w:t>
            </w:r>
            <w:sdt>
              <w:sdtPr>
                <w:rPr>
                  <w:color w:val="auto"/>
                </w:rPr>
                <w:alias w:val="语法错误"/>
                <w:tag w:val="reviewtag_FF0000"/>
                <w:id w:val="182532"/>
              </w:sdtPr>
              <w:sdtEndPr>
                <w:rPr>
                  <w:color w:val="auto"/>
                </w:rPr>
              </w:sdtEndPr>
              <w:sdtContent>
                <w:bookmarkStart w:id="109" w:name="bkReivew182532"/>
                <w:r>
                  <w:rPr>
                    <w:rFonts w:hint="eastAsia"/>
                    <w:color w:val="auto"/>
                    <w:lang w:val="en-US" w:eastAsia="zh-CN"/>
                  </w:rPr>
                  <w:t>值</w:t>
                </w:r>
                <w:bookmarkEnd w:id="109"/>
              </w:sdtContent>
            </w:sdt>
            <w:r>
              <w:rPr>
                <w:rFonts w:hint="eastAsia" w:ascii="Times New Roman" w:hAnsi="Times New Roman" w:eastAsia="宋体" w:cs="Times New Roman"/>
                <w:color w:val="auto"/>
                <w:spacing w:val="-1"/>
                <w:sz w:val="24"/>
                <w:szCs w:val="24"/>
                <w:lang w:val="en-US" w:eastAsia="zh-CN"/>
              </w:rPr>
              <w:t>浓度符合</w:t>
            </w:r>
            <w:r>
              <w:rPr>
                <w:rFonts w:hint="eastAsia"/>
                <w:color w:val="auto"/>
                <w:lang w:val="en-US" w:eastAsia="zh-CN"/>
              </w:rPr>
              <w:t>《环境空气质量标准》（GB3095-2012）二级标准，也满足</w:t>
            </w:r>
            <w:r>
              <w:rPr>
                <w:rFonts w:hint="default" w:ascii="Times New Roman" w:hAnsi="Times New Roman" w:eastAsia="宋体" w:cs="Times New Roman"/>
                <w:color w:val="auto"/>
                <w:spacing w:val="-1"/>
                <w:sz w:val="24"/>
                <w:szCs w:val="24"/>
              </w:rPr>
              <w:t>《环境空气质量标准》（</w:t>
            </w:r>
            <w:r>
              <w:rPr>
                <w:rFonts w:hint="eastAsia" w:cs="Times New Roman"/>
                <w:color w:val="auto"/>
                <w:spacing w:val="-1"/>
                <w:sz w:val="24"/>
                <w:szCs w:val="24"/>
                <w:lang w:eastAsia="zh-CN"/>
              </w:rPr>
              <w:t>GB 3095-2026</w:t>
            </w:r>
            <w:r>
              <w:rPr>
                <w:rFonts w:hint="default" w:ascii="Times New Roman" w:hAnsi="Times New Roman" w:eastAsia="宋体" w:cs="Times New Roman"/>
                <w:color w:val="auto"/>
                <w:spacing w:val="-1"/>
                <w:sz w:val="24"/>
                <w:szCs w:val="24"/>
              </w:rPr>
              <w:t>）二级标准</w:t>
            </w:r>
            <w:r>
              <w:rPr>
                <w:rFonts w:hint="eastAsia" w:cs="Times New Roman"/>
                <w:color w:val="auto"/>
                <w:spacing w:val="-1"/>
                <w:sz w:val="24"/>
                <w:szCs w:val="24"/>
                <w:lang w:val="en-US" w:eastAsia="zh-CN"/>
              </w:rPr>
              <w:t>中的限值要求</w:t>
            </w:r>
            <w:r>
              <w:rPr>
                <w:rFonts w:hint="default"/>
                <w:color w:val="auto"/>
              </w:rPr>
              <w:t>。</w:t>
            </w:r>
          </w:p>
          <w:p w14:paraId="7E39C1AE">
            <w:pPr>
              <w:bidi w:val="0"/>
              <w:rPr>
                <w:rFonts w:hint="eastAsia"/>
                <w:b/>
                <w:bCs/>
                <w:color w:val="auto"/>
                <w:highlight w:val="none"/>
                <w:lang w:val="zh-CN"/>
              </w:rPr>
            </w:pPr>
            <w:r>
              <w:rPr>
                <w:rFonts w:hint="eastAsia"/>
                <w:b/>
                <w:bCs/>
                <w:color w:val="auto"/>
                <w:highlight w:val="none"/>
                <w:lang w:val="zh-CN"/>
              </w:rPr>
              <w:t>2.地表水环境质量现状</w:t>
            </w:r>
          </w:p>
          <w:p w14:paraId="6C327BA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Autospacing="0" w:afterAutospacing="0" w:line="440" w:lineRule="exact"/>
              <w:ind w:left="0" w:right="0" w:firstLine="480" w:firstLineChars="200"/>
              <w:textAlignment w:val="auto"/>
              <w:rPr>
                <w:rFonts w:hint="eastAsia"/>
                <w:color w:val="auto"/>
                <w:sz w:val="24"/>
                <w:highlight w:val="none"/>
                <w:lang w:val="en-US" w:eastAsia="zh-CN"/>
              </w:rPr>
            </w:pPr>
            <w:r>
              <w:rPr>
                <w:rFonts w:hint="default" w:cs="Times New Roman"/>
                <w:color w:val="auto"/>
                <w:highlight w:val="none"/>
              </w:rPr>
              <w:t>根据《202</w:t>
            </w:r>
            <w:r>
              <w:rPr>
                <w:rFonts w:hint="eastAsia" w:cs="Times New Roman"/>
                <w:color w:val="auto"/>
                <w:highlight w:val="none"/>
                <w:lang w:val="en-US" w:eastAsia="zh-CN"/>
              </w:rPr>
              <w:t>5</w:t>
            </w:r>
            <w:r>
              <w:rPr>
                <w:rFonts w:hint="default" w:cs="Times New Roman"/>
                <w:color w:val="auto"/>
                <w:highlight w:val="none"/>
              </w:rPr>
              <w:t>年南京市生态环境状况公报》，</w:t>
            </w:r>
            <w:r>
              <w:rPr>
                <w:rFonts w:hint="default" w:cs="Times New Roman"/>
                <w:color w:val="auto"/>
                <w:highlight w:val="none"/>
                <w:lang w:val="en-US" w:eastAsia="zh-CN"/>
              </w:rPr>
              <w:t>全市水环境质量总体</w:t>
            </w:r>
            <w:r>
              <w:rPr>
                <w:rFonts w:hint="eastAsia" w:cs="Times New Roman"/>
                <w:color w:val="auto"/>
                <w:highlight w:val="none"/>
                <w:lang w:val="en-US" w:eastAsia="zh-CN"/>
              </w:rPr>
              <w:t>状况为优</w:t>
            </w:r>
            <w:r>
              <w:rPr>
                <w:rFonts w:hint="default" w:cs="Times New Roman"/>
                <w:color w:val="auto"/>
                <w:highlight w:val="none"/>
                <w:lang w:val="en-US" w:eastAsia="zh-CN"/>
              </w:rPr>
              <w:t>，纳入江苏省“十四五”水环境考核目标的42个地表水断面水质优良（《地表水环境质量标准》</w:t>
            </w:r>
            <w:sdt>
              <w:sdtPr>
                <w:rPr>
                  <w:color w:val="auto"/>
                </w:rPr>
                <w:alias w:val="标点符号错误"/>
                <w:tag w:val="reviewtag_0000FF"/>
                <w:id w:val="3142523"/>
              </w:sdtPr>
              <w:sdtEndPr>
                <w:rPr>
                  <w:color w:val="auto"/>
                </w:rPr>
              </w:sdtEndPr>
              <w:sdtContent>
                <w:bookmarkStart w:id="110" w:name="bkReivew3142523"/>
                <w:r>
                  <w:rPr>
                    <w:rFonts w:hint="eastAsia" w:cs="Times New Roman"/>
                    <w:color w:val="auto"/>
                    <w:highlight w:val="none"/>
                    <w:lang w:val="en-US" w:eastAsia="zh-CN"/>
                  </w:rPr>
                  <w:t>（</w:t>
                </w:r>
                <w:bookmarkEnd w:id="110"/>
              </w:sdtContent>
            </w:sdt>
            <w:r>
              <w:rPr>
                <w:rFonts w:hint="eastAsia" w:cs="Times New Roman"/>
                <w:color w:val="auto"/>
                <w:highlight w:val="none"/>
                <w:lang w:val="en-US" w:eastAsia="zh-CN"/>
              </w:rPr>
              <w:t>GB 3838-2002</w:t>
            </w:r>
            <w:sdt>
              <w:sdtPr>
                <w:rPr>
                  <w:color w:val="auto"/>
                </w:rPr>
                <w:alias w:val="标点符号错误"/>
                <w:tag w:val="reviewtag_0000FF"/>
                <w:id w:val="2062216"/>
              </w:sdtPr>
              <w:sdtEndPr>
                <w:rPr>
                  <w:color w:val="auto"/>
                  <w:highlight w:val="none"/>
                </w:rPr>
              </w:sdtEndPr>
              <w:sdtContent>
                <w:bookmarkStart w:id="111" w:name="bkReivew2062216"/>
                <w:r>
                  <w:rPr>
                    <w:rFonts w:hint="eastAsia" w:cs="Times New Roman"/>
                    <w:color w:val="auto"/>
                    <w:highlight w:val="none"/>
                    <w:lang w:val="en-US" w:eastAsia="zh-CN"/>
                  </w:rPr>
                  <w:t>）</w:t>
                </w:r>
                <w:bookmarkEnd w:id="111"/>
              </w:sdtContent>
            </w:sdt>
            <w:r>
              <w:rPr>
                <w:rFonts w:hint="eastAsia" w:ascii="宋体" w:hAnsi="宋体" w:eastAsia="宋体" w:cs="宋体"/>
                <w:color w:val="auto"/>
                <w:highlight w:val="none"/>
                <w:lang w:val="en-US" w:eastAsia="zh-CN"/>
              </w:rPr>
              <w:t>Ⅲ</w:t>
            </w:r>
            <w:r>
              <w:rPr>
                <w:rFonts w:hint="default" w:cs="Times New Roman"/>
                <w:color w:val="auto"/>
                <w:highlight w:val="none"/>
                <w:lang w:val="en-US" w:eastAsia="zh-CN"/>
              </w:rPr>
              <w:t>类及以上）</w:t>
            </w:r>
            <w:r>
              <w:rPr>
                <w:rFonts w:hint="eastAsia" w:cs="Times New Roman"/>
                <w:color w:val="auto"/>
                <w:highlight w:val="none"/>
                <w:lang w:val="en-US" w:eastAsia="zh-CN"/>
              </w:rPr>
              <w:t>比例100</w:t>
            </w:r>
            <w:r>
              <w:rPr>
                <w:rFonts w:hint="default" w:cs="Times New Roman"/>
                <w:color w:val="auto"/>
                <w:highlight w:val="none"/>
                <w:lang w:val="en-US" w:eastAsia="zh-CN"/>
              </w:rPr>
              <w:t>%，无丧失使用功能（劣Ⅴ类）断面</w:t>
            </w:r>
            <w:r>
              <w:rPr>
                <w:rFonts w:hint="eastAsia"/>
                <w:color w:val="auto"/>
                <w:sz w:val="24"/>
                <w:highlight w:val="none"/>
                <w:lang w:val="en-US" w:eastAsia="zh-CN"/>
              </w:rPr>
              <w:t>。</w:t>
            </w:r>
          </w:p>
          <w:p w14:paraId="04D06ED8">
            <w:pPr>
              <w:bidi w:val="0"/>
              <w:rPr>
                <w:color w:val="auto"/>
                <w:highlight w:val="none"/>
              </w:rPr>
            </w:pPr>
            <w:bookmarkStart w:id="112" w:name="sys995042"/>
            <w:r>
              <w:rPr>
                <w:rFonts w:hint="eastAsia" w:ascii="宋体" w:hAnsi="宋体" w:cs="宋体"/>
                <w:color w:val="auto"/>
                <w:sz w:val="24"/>
                <w:highlight w:val="none"/>
                <w:lang w:val="en-US" w:eastAsia="zh-CN"/>
              </w:rPr>
              <w:t>园区</w:t>
            </w:r>
            <w:r>
              <w:rPr>
                <w:rFonts w:hint="eastAsia" w:ascii="宋体" w:hAnsi="宋体" w:eastAsia="宋体" w:cs="宋体"/>
                <w:color w:val="auto"/>
                <w:sz w:val="24"/>
                <w:highlight w:val="none"/>
              </w:rPr>
              <w:t>生活污水经化粪池处理后进入市政污水管网</w:t>
            </w:r>
            <w:sdt>
              <w:sdtPr>
                <w:rPr>
                  <w:color w:val="auto"/>
                  <w:highlight w:val="none"/>
                </w:rPr>
                <w:alias w:val="语法错误"/>
                <w:tag w:val="reviewtag_0000FF"/>
                <w:id w:val="2011716"/>
              </w:sdtPr>
              <w:sdtEndPr>
                <w:rPr>
                  <w:color w:val="auto"/>
                  <w:highlight w:val="none"/>
                </w:rPr>
              </w:sdtEndPr>
              <w:sdtContent>
                <w:bookmarkStart w:id="113" w:name="bkReivew2011716"/>
                <w:r>
                  <w:rPr>
                    <w:rFonts w:hint="eastAsia" w:ascii="宋体" w:hAnsi="宋体" w:eastAsia="宋体" w:cs="宋体"/>
                    <w:color w:val="auto"/>
                    <w:sz w:val="24"/>
                    <w:highlight w:val="none"/>
                  </w:rPr>
                  <w:t>接管至</w:t>
                </w:r>
                <w:bookmarkEnd w:id="113"/>
              </w:sdtContent>
            </w:sdt>
            <w:r>
              <w:rPr>
                <w:rFonts w:hint="eastAsia" w:ascii="宋体" w:hAnsi="宋体" w:eastAsia="宋体" w:cs="宋体"/>
                <w:color w:val="auto"/>
                <w:sz w:val="24"/>
                <w:highlight w:val="none"/>
              </w:rPr>
              <w:t>空港污水处理厂</w:t>
            </w:r>
            <w:r>
              <w:rPr>
                <w:rFonts w:hint="eastAsia"/>
                <w:color w:val="auto"/>
                <w:highlight w:val="none"/>
              </w:rPr>
              <w:t>，尾水排放至</w:t>
            </w:r>
            <w:r>
              <w:rPr>
                <w:rFonts w:hint="eastAsia"/>
                <w:color w:val="auto"/>
                <w:highlight w:val="none"/>
                <w:lang w:val="en-US" w:eastAsia="zh-CN"/>
              </w:rPr>
              <w:t>云台山河</w:t>
            </w:r>
            <w:r>
              <w:rPr>
                <w:rFonts w:hint="eastAsia"/>
                <w:color w:val="auto"/>
                <w:highlight w:val="none"/>
              </w:rPr>
              <w:t>。</w:t>
            </w:r>
            <w:bookmarkEnd w:id="112"/>
          </w:p>
          <w:p w14:paraId="22893DCB">
            <w:pPr>
              <w:bidi w:val="0"/>
              <w:rPr>
                <w:rFonts w:hint="eastAsia"/>
                <w:color w:val="auto"/>
                <w:highlight w:val="none"/>
                <w:lang w:val="en-US" w:eastAsia="zh-CN"/>
              </w:rPr>
            </w:pPr>
            <w:r>
              <w:rPr>
                <w:rFonts w:hint="eastAsia"/>
                <w:color w:val="auto"/>
                <w:highlight w:val="none"/>
              </w:rPr>
              <w:t>根据《江苏省地表水（环境）功能区划（</w:t>
            </w:r>
            <w:r>
              <w:rPr>
                <w:color w:val="auto"/>
                <w:highlight w:val="none"/>
              </w:rPr>
              <w:t>2021—2030</w:t>
            </w:r>
            <w:r>
              <w:rPr>
                <w:rFonts w:hint="eastAsia"/>
                <w:color w:val="auto"/>
                <w:highlight w:val="none"/>
              </w:rPr>
              <w:t>年）》，</w:t>
            </w:r>
            <w:r>
              <w:rPr>
                <w:rFonts w:hint="eastAsia"/>
                <w:color w:val="auto"/>
                <w:highlight w:val="none"/>
                <w:lang w:val="en-US" w:eastAsia="zh-CN"/>
              </w:rPr>
              <w:t>云台山河</w:t>
            </w:r>
            <w:r>
              <w:rPr>
                <w:rFonts w:hint="eastAsia"/>
                <w:color w:val="auto"/>
                <w:highlight w:val="none"/>
              </w:rPr>
              <w:t>为</w:t>
            </w:r>
            <w:r>
              <w:rPr>
                <w:color w:val="auto"/>
                <w:highlight w:val="none"/>
              </w:rPr>
              <w:t>Ⅲ</w:t>
            </w:r>
            <w:r>
              <w:rPr>
                <w:rFonts w:hint="eastAsia"/>
                <w:color w:val="auto"/>
                <w:highlight w:val="none"/>
              </w:rPr>
              <w:t>类水质目标。</w:t>
            </w:r>
            <w:r>
              <w:rPr>
                <w:rFonts w:hint="default"/>
                <w:color w:val="auto"/>
                <w:highlight w:val="none"/>
                <w:lang w:val="en-US" w:eastAsia="zh-CN"/>
              </w:rPr>
              <w:t>为了了解项目附近地表水环境现状，</w:t>
            </w:r>
            <w:r>
              <w:rPr>
                <w:rFonts w:hint="eastAsia"/>
                <w:color w:val="auto"/>
                <w:highlight w:val="none"/>
                <w:lang w:val="en-US" w:eastAsia="zh-CN"/>
              </w:rPr>
              <w:t>本次云台山河现状监测数据引用</w:t>
            </w:r>
            <w:r>
              <w:rPr>
                <w:rFonts w:hint="eastAsia"/>
                <w:color w:val="auto"/>
                <w:highlight w:val="none"/>
                <w:lang w:val="zh-CN"/>
              </w:rPr>
              <w:t>《南京江宁经济技术开发区环境影响评价区域评估报告》</w:t>
            </w:r>
            <w:bookmarkStart w:id="114" w:name="bkReivew142700"/>
            <w:r>
              <w:rPr>
                <w:rFonts w:hint="eastAsia"/>
                <w:color w:val="auto"/>
                <w:highlight w:val="none"/>
                <w:lang w:val="en-US" w:eastAsia="zh-CN"/>
              </w:rPr>
              <w:t>中的</w:t>
            </w:r>
            <w:bookmarkEnd w:id="114"/>
            <w:r>
              <w:rPr>
                <w:rFonts w:hint="eastAsia"/>
                <w:color w:val="auto"/>
                <w:highlight w:val="none"/>
                <w:lang w:val="en-US" w:eastAsia="zh-CN"/>
              </w:rPr>
              <w:t>数据，</w:t>
            </w:r>
            <w:r>
              <w:rPr>
                <w:rFonts w:hint="eastAsia"/>
                <w:color w:val="auto"/>
                <w:highlight w:val="none"/>
                <w:lang w:val="zh-CN"/>
              </w:rPr>
              <w:t>具体监测断面和监测因子见</w:t>
            </w:r>
            <w:r>
              <w:rPr>
                <w:rFonts w:hint="eastAsia"/>
                <w:color w:val="auto"/>
                <w:highlight w:val="none"/>
                <w:lang w:val="en-US" w:eastAsia="zh-CN"/>
              </w:rPr>
              <w:t>下表。监测时间为：2024年8月7日—8月9日，</w:t>
            </w:r>
            <w:r>
              <w:rPr>
                <w:rFonts w:hint="default" w:ascii="Times New Roman" w:hAnsi="Times New Roman" w:eastAsia="宋体" w:cs="Times New Roman"/>
                <w:color w:val="auto"/>
                <w:highlight w:val="none"/>
                <w:lang w:val="en-US" w:eastAsia="zh-CN"/>
              </w:rPr>
              <w:t>连续监测3天，引用数据为近3年内监测数据，</w:t>
            </w:r>
            <w:r>
              <w:rPr>
                <w:rFonts w:hint="eastAsia"/>
                <w:color w:val="auto"/>
                <w:highlight w:val="none"/>
                <w:lang w:val="en-US" w:eastAsia="zh-CN"/>
              </w:rPr>
              <w:t>满足《建设项目环境影响报告表编制技术指南（污染影响类）（试行）》中引用要求，引用可行。</w:t>
            </w:r>
          </w:p>
          <w:p w14:paraId="07BB5A74">
            <w:pPr>
              <w:pStyle w:val="51"/>
              <w:bidi w:val="0"/>
              <w:rPr>
                <w:color w:val="auto"/>
                <w:highlight w:val="none"/>
              </w:rPr>
            </w:pPr>
            <w:r>
              <w:rPr>
                <w:rFonts w:hint="eastAsia"/>
                <w:color w:val="auto"/>
                <w:highlight w:val="none"/>
              </w:rPr>
              <w:t>地表水环境质量现状监测断面和监测因子</w:t>
            </w:r>
          </w:p>
          <w:tbl>
            <w:tblPr>
              <w:tblStyle w:val="3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00"/>
              <w:gridCol w:w="1278"/>
              <w:gridCol w:w="3083"/>
              <w:gridCol w:w="1431"/>
              <w:gridCol w:w="1801"/>
            </w:tblGrid>
            <w:tr w14:paraId="5D8A2E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2736FEEE">
                  <w:pPr>
                    <w:pStyle w:val="48"/>
                    <w:bidi w:val="0"/>
                    <w:rPr>
                      <w:rFonts w:hint="eastAsia"/>
                      <w:b/>
                      <w:bCs/>
                      <w:color w:val="auto"/>
                      <w:highlight w:val="none"/>
                      <w:lang w:eastAsia="zh-CN"/>
                    </w:rPr>
                  </w:pPr>
                  <w:r>
                    <w:rPr>
                      <w:rFonts w:hint="eastAsia"/>
                      <w:b/>
                      <w:bCs/>
                      <w:color w:val="auto"/>
                      <w:highlight w:val="none"/>
                      <w:lang w:val="en-US" w:eastAsia="zh-CN"/>
                    </w:rPr>
                    <w:t>编号</w:t>
                  </w:r>
                </w:p>
              </w:tc>
              <w:tc>
                <w:tcPr>
                  <w:tcW w:w="1277" w:type="dxa"/>
                  <w:tcBorders>
                    <w:tl2br w:val="nil"/>
                    <w:tr2bl w:val="nil"/>
                  </w:tcBorders>
                  <w:noWrap w:val="0"/>
                  <w:vAlign w:val="center"/>
                </w:tcPr>
                <w:p w14:paraId="3C97DBAF">
                  <w:pPr>
                    <w:pStyle w:val="48"/>
                    <w:bidi w:val="0"/>
                    <w:rPr>
                      <w:rFonts w:hint="eastAsia"/>
                      <w:b/>
                      <w:bCs/>
                      <w:color w:val="auto"/>
                      <w:highlight w:val="none"/>
                      <w:lang w:eastAsia="zh-CN"/>
                    </w:rPr>
                  </w:pPr>
                  <w:r>
                    <w:rPr>
                      <w:rFonts w:hint="eastAsia"/>
                      <w:b/>
                      <w:bCs/>
                      <w:color w:val="auto"/>
                      <w:highlight w:val="none"/>
                      <w:lang w:val="en-US" w:eastAsia="zh-CN"/>
                    </w:rPr>
                    <w:t>名称</w:t>
                  </w:r>
                </w:p>
              </w:tc>
              <w:tc>
                <w:tcPr>
                  <w:tcW w:w="3081" w:type="dxa"/>
                  <w:tcBorders>
                    <w:tl2br w:val="nil"/>
                    <w:tr2bl w:val="nil"/>
                  </w:tcBorders>
                  <w:noWrap w:val="0"/>
                  <w:vAlign w:val="center"/>
                </w:tcPr>
                <w:p w14:paraId="049C495B">
                  <w:pPr>
                    <w:pStyle w:val="48"/>
                    <w:bidi w:val="0"/>
                    <w:rPr>
                      <w:rFonts w:hint="eastAsia"/>
                      <w:b/>
                      <w:bCs/>
                      <w:color w:val="auto"/>
                      <w:highlight w:val="none"/>
                      <w:lang w:eastAsia="zh-CN"/>
                    </w:rPr>
                  </w:pPr>
                  <w:r>
                    <w:rPr>
                      <w:rFonts w:hint="eastAsia"/>
                      <w:b/>
                      <w:bCs/>
                      <w:color w:val="auto"/>
                      <w:highlight w:val="none"/>
                      <w:lang w:val="en-US" w:eastAsia="zh-CN"/>
                    </w:rPr>
                    <w:t>断面名称</w:t>
                  </w:r>
                </w:p>
              </w:tc>
              <w:tc>
                <w:tcPr>
                  <w:tcW w:w="1430" w:type="dxa"/>
                  <w:tcBorders>
                    <w:tl2br w:val="nil"/>
                    <w:tr2bl w:val="nil"/>
                  </w:tcBorders>
                  <w:noWrap w:val="0"/>
                  <w:vAlign w:val="center"/>
                </w:tcPr>
                <w:p w14:paraId="24DD31C5">
                  <w:pPr>
                    <w:pStyle w:val="48"/>
                    <w:bidi w:val="0"/>
                    <w:rPr>
                      <w:rFonts w:hint="eastAsia"/>
                      <w:b/>
                      <w:bCs/>
                      <w:color w:val="auto"/>
                      <w:highlight w:val="none"/>
                      <w:lang w:eastAsia="zh-CN"/>
                    </w:rPr>
                  </w:pPr>
                  <w:r>
                    <w:rPr>
                      <w:rFonts w:hint="eastAsia"/>
                      <w:b/>
                      <w:bCs/>
                      <w:color w:val="auto"/>
                      <w:highlight w:val="none"/>
                      <w:lang w:val="en-US" w:eastAsia="zh-CN"/>
                    </w:rPr>
                    <w:t>监测因子</w:t>
                  </w:r>
                </w:p>
              </w:tc>
              <w:tc>
                <w:tcPr>
                  <w:tcW w:w="1800" w:type="dxa"/>
                  <w:tcBorders>
                    <w:tl2br w:val="nil"/>
                    <w:tr2bl w:val="nil"/>
                  </w:tcBorders>
                  <w:noWrap w:val="0"/>
                  <w:vAlign w:val="center"/>
                </w:tcPr>
                <w:p w14:paraId="12B0129E">
                  <w:pPr>
                    <w:pStyle w:val="48"/>
                    <w:bidi w:val="0"/>
                    <w:rPr>
                      <w:rFonts w:hint="eastAsia"/>
                      <w:b/>
                      <w:bCs/>
                      <w:color w:val="auto"/>
                      <w:highlight w:val="none"/>
                      <w:lang w:val="en-US" w:eastAsia="zh-CN"/>
                    </w:rPr>
                  </w:pPr>
                  <w:r>
                    <w:rPr>
                      <w:rFonts w:hint="eastAsia"/>
                      <w:b/>
                      <w:bCs/>
                      <w:color w:val="auto"/>
                      <w:highlight w:val="none"/>
                      <w:lang w:val="en-US" w:eastAsia="zh-CN"/>
                    </w:rPr>
                    <w:t>监测时段</w:t>
                  </w:r>
                </w:p>
              </w:tc>
            </w:tr>
            <w:tr w14:paraId="131BA2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3DE64431">
                  <w:pPr>
                    <w:pStyle w:val="48"/>
                    <w:bidi w:val="0"/>
                    <w:rPr>
                      <w:rFonts w:hint="default"/>
                      <w:color w:val="auto"/>
                      <w:highlight w:val="none"/>
                      <w:lang w:val="en-US" w:eastAsia="zh-CN"/>
                    </w:rPr>
                  </w:pPr>
                  <w:r>
                    <w:rPr>
                      <w:rFonts w:hint="eastAsia"/>
                      <w:color w:val="auto"/>
                      <w:highlight w:val="none"/>
                      <w:lang w:val="en-US" w:eastAsia="zh-CN"/>
                    </w:rPr>
                    <w:t>W4-1</w:t>
                  </w:r>
                </w:p>
              </w:tc>
              <w:tc>
                <w:tcPr>
                  <w:tcW w:w="1277" w:type="dxa"/>
                  <w:tcBorders>
                    <w:tl2br w:val="nil"/>
                    <w:tr2bl w:val="nil"/>
                  </w:tcBorders>
                  <w:noWrap w:val="0"/>
                  <w:vAlign w:val="center"/>
                </w:tcPr>
                <w:p w14:paraId="5E952601">
                  <w:pPr>
                    <w:pStyle w:val="48"/>
                    <w:bidi w:val="0"/>
                    <w:rPr>
                      <w:rFonts w:hint="eastAsia"/>
                      <w:color w:val="auto"/>
                      <w:highlight w:val="none"/>
                      <w:lang w:val="en-US" w:eastAsia="zh-CN"/>
                    </w:rPr>
                  </w:pPr>
                  <w:r>
                    <w:rPr>
                      <w:rFonts w:hint="eastAsia"/>
                      <w:color w:val="auto"/>
                      <w:highlight w:val="none"/>
                      <w:lang w:val="en-US" w:eastAsia="zh-CN"/>
                    </w:rPr>
                    <w:t>云台山河</w:t>
                  </w:r>
                </w:p>
              </w:tc>
              <w:tc>
                <w:tcPr>
                  <w:tcW w:w="3081" w:type="dxa"/>
                  <w:tcBorders>
                    <w:tl2br w:val="nil"/>
                    <w:tr2bl w:val="nil"/>
                  </w:tcBorders>
                  <w:noWrap w:val="0"/>
                  <w:vAlign w:val="center"/>
                </w:tcPr>
                <w:p w14:paraId="7563EC2F">
                  <w:pPr>
                    <w:pStyle w:val="48"/>
                    <w:bidi w:val="0"/>
                    <w:rPr>
                      <w:color w:val="auto"/>
                      <w:highlight w:val="none"/>
                    </w:rPr>
                  </w:pPr>
                  <w:r>
                    <w:rPr>
                      <w:rFonts w:hint="default"/>
                      <w:color w:val="auto"/>
                      <w:highlight w:val="none"/>
                      <w:lang w:val="en-US" w:eastAsia="zh-CN"/>
                    </w:rPr>
                    <w:t>空港污水处理厂排口上游500m</w:t>
                  </w:r>
                </w:p>
              </w:tc>
              <w:tc>
                <w:tcPr>
                  <w:tcW w:w="1430" w:type="dxa"/>
                  <w:vMerge w:val="restart"/>
                  <w:tcBorders>
                    <w:tl2br w:val="nil"/>
                    <w:tr2bl w:val="nil"/>
                  </w:tcBorders>
                  <w:noWrap w:val="0"/>
                  <w:vAlign w:val="center"/>
                </w:tcPr>
                <w:p w14:paraId="29C1CCE0">
                  <w:pPr>
                    <w:pStyle w:val="48"/>
                    <w:bidi w:val="0"/>
                    <w:rPr>
                      <w:rFonts w:hint="default" w:eastAsia="宋体"/>
                      <w:color w:val="auto"/>
                      <w:highlight w:val="none"/>
                      <w:lang w:val="en-US" w:eastAsia="zh-CN"/>
                    </w:rPr>
                  </w:pPr>
                  <w:r>
                    <w:rPr>
                      <w:rFonts w:hint="eastAsia"/>
                      <w:color w:val="auto"/>
                      <w:highlight w:val="none"/>
                    </w:rPr>
                    <w:t>pH、COD、SS、氨氮、总磷</w:t>
                  </w:r>
                  <w:r>
                    <w:rPr>
                      <w:rFonts w:hint="eastAsia"/>
                      <w:color w:val="auto"/>
                      <w:highlight w:val="none"/>
                      <w:lang w:eastAsia="zh-CN"/>
                    </w:rPr>
                    <w:t>、</w:t>
                  </w:r>
                  <w:r>
                    <w:rPr>
                      <w:rFonts w:hint="eastAsia"/>
                      <w:color w:val="auto"/>
                      <w:highlight w:val="none"/>
                      <w:lang w:val="en-US" w:eastAsia="zh-CN"/>
                    </w:rPr>
                    <w:t>氟化物</w:t>
                  </w:r>
                </w:p>
              </w:tc>
              <w:tc>
                <w:tcPr>
                  <w:tcW w:w="1800" w:type="dxa"/>
                  <w:vMerge w:val="restart"/>
                  <w:tcBorders>
                    <w:tl2br w:val="nil"/>
                    <w:tr2bl w:val="nil"/>
                  </w:tcBorders>
                  <w:noWrap w:val="0"/>
                  <w:vAlign w:val="center"/>
                </w:tcPr>
                <w:p w14:paraId="6AFFA18B">
                  <w:pPr>
                    <w:pStyle w:val="48"/>
                    <w:bidi w:val="0"/>
                    <w:rPr>
                      <w:rFonts w:hint="default"/>
                      <w:color w:val="auto"/>
                      <w:highlight w:val="none"/>
                      <w:lang w:val="en-US"/>
                    </w:rPr>
                  </w:pPr>
                  <w:r>
                    <w:rPr>
                      <w:rFonts w:hint="default"/>
                      <w:color w:val="auto"/>
                      <w:highlight w:val="none"/>
                      <w:lang w:val="en-US" w:eastAsia="zh-CN"/>
                    </w:rPr>
                    <w:t>202</w:t>
                  </w:r>
                  <w:r>
                    <w:rPr>
                      <w:rFonts w:hint="eastAsia"/>
                      <w:color w:val="auto"/>
                      <w:highlight w:val="none"/>
                      <w:lang w:val="en-US" w:eastAsia="zh-CN"/>
                    </w:rPr>
                    <w:t>4.8.7~2024.8.9</w:t>
                  </w:r>
                </w:p>
              </w:tc>
            </w:tr>
            <w:tr w14:paraId="59EF4C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01032B07">
                  <w:pPr>
                    <w:pStyle w:val="48"/>
                    <w:bidi w:val="0"/>
                    <w:rPr>
                      <w:rFonts w:hint="default"/>
                      <w:color w:val="auto"/>
                      <w:highlight w:val="none"/>
                      <w:lang w:val="en-US" w:eastAsia="zh-CN"/>
                    </w:rPr>
                  </w:pPr>
                  <w:r>
                    <w:rPr>
                      <w:rFonts w:hint="eastAsia"/>
                      <w:color w:val="auto"/>
                      <w:highlight w:val="none"/>
                      <w:lang w:val="en-US" w:eastAsia="zh-CN"/>
                    </w:rPr>
                    <w:t>W4-2</w:t>
                  </w:r>
                </w:p>
              </w:tc>
              <w:tc>
                <w:tcPr>
                  <w:tcW w:w="1277" w:type="dxa"/>
                  <w:tcBorders>
                    <w:tl2br w:val="nil"/>
                    <w:tr2bl w:val="nil"/>
                  </w:tcBorders>
                  <w:noWrap w:val="0"/>
                  <w:vAlign w:val="center"/>
                </w:tcPr>
                <w:p w14:paraId="3B2F2A55">
                  <w:pPr>
                    <w:pStyle w:val="48"/>
                    <w:bidi w:val="0"/>
                    <w:rPr>
                      <w:color w:val="auto"/>
                      <w:highlight w:val="none"/>
                    </w:rPr>
                  </w:pPr>
                  <w:r>
                    <w:rPr>
                      <w:rFonts w:hint="eastAsia"/>
                      <w:color w:val="auto"/>
                      <w:highlight w:val="none"/>
                      <w:lang w:val="en-US" w:eastAsia="zh-CN"/>
                    </w:rPr>
                    <w:t>云台山河</w:t>
                  </w:r>
                </w:p>
              </w:tc>
              <w:tc>
                <w:tcPr>
                  <w:tcW w:w="3081" w:type="dxa"/>
                  <w:tcBorders>
                    <w:tl2br w:val="nil"/>
                    <w:tr2bl w:val="nil"/>
                  </w:tcBorders>
                  <w:noWrap w:val="0"/>
                  <w:vAlign w:val="center"/>
                </w:tcPr>
                <w:p w14:paraId="21EFE873">
                  <w:pPr>
                    <w:pStyle w:val="48"/>
                    <w:bidi w:val="0"/>
                    <w:rPr>
                      <w:color w:val="auto"/>
                      <w:highlight w:val="none"/>
                    </w:rPr>
                  </w:pPr>
                  <w:r>
                    <w:rPr>
                      <w:rFonts w:hint="default"/>
                      <w:color w:val="auto"/>
                      <w:highlight w:val="none"/>
                      <w:lang w:val="en-US" w:eastAsia="zh-CN"/>
                    </w:rPr>
                    <w:t>南区污水处理厂上游约500米</w:t>
                  </w:r>
                </w:p>
              </w:tc>
              <w:tc>
                <w:tcPr>
                  <w:tcW w:w="1430" w:type="dxa"/>
                  <w:vMerge w:val="continue"/>
                  <w:tcBorders>
                    <w:tl2br w:val="nil"/>
                    <w:tr2bl w:val="nil"/>
                  </w:tcBorders>
                  <w:noWrap w:val="0"/>
                  <w:vAlign w:val="center"/>
                </w:tcPr>
                <w:p w14:paraId="7018BB73">
                  <w:pPr>
                    <w:pStyle w:val="48"/>
                    <w:bidi w:val="0"/>
                    <w:rPr>
                      <w:color w:val="auto"/>
                      <w:highlight w:val="none"/>
                    </w:rPr>
                  </w:pPr>
                </w:p>
              </w:tc>
              <w:tc>
                <w:tcPr>
                  <w:tcW w:w="1800" w:type="dxa"/>
                  <w:vMerge w:val="continue"/>
                  <w:tcBorders>
                    <w:tl2br w:val="nil"/>
                    <w:tr2bl w:val="nil"/>
                  </w:tcBorders>
                  <w:noWrap w:val="0"/>
                  <w:vAlign w:val="center"/>
                </w:tcPr>
                <w:p w14:paraId="06B7ED2A">
                  <w:pPr>
                    <w:pStyle w:val="48"/>
                    <w:bidi w:val="0"/>
                    <w:rPr>
                      <w:color w:val="auto"/>
                      <w:highlight w:val="none"/>
                    </w:rPr>
                  </w:pPr>
                </w:p>
              </w:tc>
            </w:tr>
            <w:tr w14:paraId="1CADE5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800" w:type="dxa"/>
                  <w:tcBorders>
                    <w:tl2br w:val="nil"/>
                    <w:tr2bl w:val="nil"/>
                  </w:tcBorders>
                  <w:noWrap w:val="0"/>
                  <w:vAlign w:val="center"/>
                </w:tcPr>
                <w:p w14:paraId="78121B7C">
                  <w:pPr>
                    <w:pStyle w:val="48"/>
                    <w:bidi w:val="0"/>
                    <w:rPr>
                      <w:rFonts w:hint="default"/>
                      <w:color w:val="auto"/>
                      <w:highlight w:val="none"/>
                      <w:lang w:val="en-US" w:eastAsia="zh-CN"/>
                    </w:rPr>
                  </w:pPr>
                  <w:r>
                    <w:rPr>
                      <w:rFonts w:hint="eastAsia"/>
                      <w:color w:val="auto"/>
                      <w:highlight w:val="none"/>
                      <w:lang w:val="en-US" w:eastAsia="zh-CN"/>
                    </w:rPr>
                    <w:t>W4-3</w:t>
                  </w:r>
                </w:p>
              </w:tc>
              <w:tc>
                <w:tcPr>
                  <w:tcW w:w="1277" w:type="dxa"/>
                  <w:tcBorders>
                    <w:tl2br w:val="nil"/>
                    <w:tr2bl w:val="nil"/>
                  </w:tcBorders>
                  <w:noWrap w:val="0"/>
                  <w:vAlign w:val="center"/>
                </w:tcPr>
                <w:p w14:paraId="339B6926">
                  <w:pPr>
                    <w:pStyle w:val="48"/>
                    <w:bidi w:val="0"/>
                    <w:rPr>
                      <w:rFonts w:hint="eastAsia"/>
                      <w:color w:val="auto"/>
                      <w:highlight w:val="none"/>
                      <w:lang w:val="en-US" w:eastAsia="zh-CN"/>
                    </w:rPr>
                  </w:pPr>
                  <w:r>
                    <w:rPr>
                      <w:rFonts w:hint="eastAsia"/>
                      <w:color w:val="auto"/>
                      <w:highlight w:val="none"/>
                      <w:lang w:val="en-US" w:eastAsia="zh-CN"/>
                    </w:rPr>
                    <w:t>云台山河</w:t>
                  </w:r>
                </w:p>
              </w:tc>
              <w:tc>
                <w:tcPr>
                  <w:tcW w:w="3081" w:type="dxa"/>
                  <w:tcBorders>
                    <w:tl2br w:val="nil"/>
                    <w:tr2bl w:val="nil"/>
                  </w:tcBorders>
                  <w:noWrap w:val="0"/>
                  <w:vAlign w:val="center"/>
                </w:tcPr>
                <w:p w14:paraId="1B3911C2">
                  <w:pPr>
                    <w:pStyle w:val="48"/>
                    <w:bidi w:val="0"/>
                    <w:rPr>
                      <w:rFonts w:hint="eastAsia"/>
                      <w:color w:val="auto"/>
                      <w:highlight w:val="none"/>
                    </w:rPr>
                  </w:pPr>
                  <w:r>
                    <w:rPr>
                      <w:rFonts w:hint="default"/>
                      <w:color w:val="auto"/>
                      <w:highlight w:val="none"/>
                      <w:lang w:val="en-US" w:eastAsia="zh-CN"/>
                    </w:rPr>
                    <w:t>南区污水处理厂下游约1000米</w:t>
                  </w:r>
                </w:p>
              </w:tc>
              <w:tc>
                <w:tcPr>
                  <w:tcW w:w="1430" w:type="dxa"/>
                  <w:vMerge w:val="continue"/>
                  <w:tcBorders>
                    <w:tl2br w:val="nil"/>
                    <w:tr2bl w:val="nil"/>
                  </w:tcBorders>
                  <w:noWrap w:val="0"/>
                  <w:vAlign w:val="center"/>
                </w:tcPr>
                <w:p w14:paraId="261CDC39">
                  <w:pPr>
                    <w:pStyle w:val="48"/>
                    <w:bidi w:val="0"/>
                    <w:rPr>
                      <w:color w:val="auto"/>
                      <w:highlight w:val="none"/>
                    </w:rPr>
                  </w:pPr>
                </w:p>
              </w:tc>
              <w:tc>
                <w:tcPr>
                  <w:tcW w:w="1800" w:type="dxa"/>
                  <w:vMerge w:val="continue"/>
                  <w:tcBorders>
                    <w:tl2br w:val="nil"/>
                    <w:tr2bl w:val="nil"/>
                  </w:tcBorders>
                  <w:noWrap w:val="0"/>
                  <w:vAlign w:val="center"/>
                </w:tcPr>
                <w:p w14:paraId="60EB6ECC">
                  <w:pPr>
                    <w:pStyle w:val="48"/>
                    <w:bidi w:val="0"/>
                    <w:rPr>
                      <w:color w:val="auto"/>
                      <w:highlight w:val="none"/>
                    </w:rPr>
                  </w:pPr>
                </w:p>
              </w:tc>
            </w:tr>
          </w:tbl>
          <w:p w14:paraId="316AA004">
            <w:pPr>
              <w:pStyle w:val="51"/>
              <w:bidi w:val="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区域地表水水质现状监测数据汇总表（mg/L，pH 无量纲）</w:t>
            </w:r>
          </w:p>
          <w:tbl>
            <w:tblPr>
              <w:tblStyle w:val="33"/>
              <w:tblW w:w="821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81"/>
              <w:gridCol w:w="1802"/>
              <w:gridCol w:w="990"/>
              <w:gridCol w:w="1162"/>
              <w:gridCol w:w="1293"/>
              <w:gridCol w:w="1044"/>
              <w:gridCol w:w="1044"/>
            </w:tblGrid>
            <w:tr w14:paraId="34DB2F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8" w:hRule="atLeast"/>
                <w:jc w:val="center"/>
              </w:trPr>
              <w:tc>
                <w:tcPr>
                  <w:tcW w:w="881" w:type="dxa"/>
                  <w:tcBorders>
                    <w:tl2br w:val="nil"/>
                    <w:tr2bl w:val="nil"/>
                  </w:tcBorders>
                  <w:noWrap w:val="0"/>
                  <w:vAlign w:val="center"/>
                </w:tcPr>
                <w:p w14:paraId="7B7E38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default" w:ascii="Times New Roman" w:hAnsi="Times New Roman" w:eastAsia="宋体" w:cs="Times New Roman"/>
                      <w:b/>
                      <w:snapToGrid w:val="0"/>
                      <w:color w:val="auto"/>
                      <w:sz w:val="21"/>
                      <w:szCs w:val="21"/>
                      <w:highlight w:val="none"/>
                      <w:lang w:val="en-US" w:eastAsia="zh-CN"/>
                    </w:rPr>
                    <w:t>断面</w:t>
                  </w:r>
                </w:p>
              </w:tc>
              <w:tc>
                <w:tcPr>
                  <w:tcW w:w="1802" w:type="dxa"/>
                  <w:tcBorders>
                    <w:tl2br w:val="nil"/>
                    <w:tr2bl w:val="nil"/>
                  </w:tcBorders>
                  <w:noWrap w:val="0"/>
                  <w:vAlign w:val="center"/>
                </w:tcPr>
                <w:p w14:paraId="34F4D74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default" w:ascii="Times New Roman" w:hAnsi="Times New Roman" w:eastAsia="宋体" w:cs="Times New Roman"/>
                      <w:b/>
                      <w:snapToGrid w:val="0"/>
                      <w:color w:val="auto"/>
                      <w:sz w:val="21"/>
                      <w:szCs w:val="21"/>
                      <w:highlight w:val="none"/>
                      <w:lang w:val="en-US" w:eastAsia="zh-CN"/>
                    </w:rPr>
                    <w:t>项目</w:t>
                  </w:r>
                </w:p>
              </w:tc>
              <w:tc>
                <w:tcPr>
                  <w:tcW w:w="990" w:type="dxa"/>
                  <w:tcBorders>
                    <w:tl2br w:val="nil"/>
                    <w:tr2bl w:val="nil"/>
                  </w:tcBorders>
                  <w:noWrap w:val="0"/>
                  <w:vAlign w:val="center"/>
                </w:tcPr>
                <w:p w14:paraId="05076A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default" w:ascii="Times New Roman" w:hAnsi="Times New Roman" w:eastAsia="宋体" w:cs="Times New Roman"/>
                      <w:b/>
                      <w:snapToGrid w:val="0"/>
                      <w:color w:val="auto"/>
                      <w:sz w:val="21"/>
                      <w:szCs w:val="21"/>
                      <w:highlight w:val="none"/>
                      <w:lang w:val="en-US" w:eastAsia="zh-CN"/>
                    </w:rPr>
                    <w:t>pH</w:t>
                  </w:r>
                </w:p>
              </w:tc>
              <w:tc>
                <w:tcPr>
                  <w:tcW w:w="1162" w:type="dxa"/>
                  <w:tcBorders>
                    <w:tl2br w:val="nil"/>
                    <w:tr2bl w:val="nil"/>
                  </w:tcBorders>
                  <w:noWrap w:val="0"/>
                  <w:vAlign w:val="center"/>
                </w:tcPr>
                <w:p w14:paraId="40D891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default" w:ascii="Times New Roman" w:hAnsi="Times New Roman" w:eastAsia="宋体" w:cs="Times New Roman"/>
                      <w:b/>
                      <w:snapToGrid w:val="0"/>
                      <w:color w:val="auto"/>
                      <w:sz w:val="21"/>
                      <w:szCs w:val="21"/>
                      <w:highlight w:val="none"/>
                      <w:lang w:val="en-US" w:eastAsia="zh-CN"/>
                    </w:rPr>
                    <w:t>COD</w:t>
                  </w:r>
                </w:p>
              </w:tc>
              <w:tc>
                <w:tcPr>
                  <w:tcW w:w="1293" w:type="dxa"/>
                  <w:tcBorders>
                    <w:tl2br w:val="nil"/>
                    <w:tr2bl w:val="nil"/>
                  </w:tcBorders>
                  <w:noWrap w:val="0"/>
                  <w:vAlign w:val="center"/>
                </w:tcPr>
                <w:p w14:paraId="5B9821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default" w:ascii="Times New Roman" w:hAnsi="Times New Roman" w:eastAsia="宋体" w:cs="Times New Roman"/>
                      <w:b/>
                      <w:snapToGrid w:val="0"/>
                      <w:color w:val="auto"/>
                      <w:sz w:val="21"/>
                      <w:szCs w:val="21"/>
                      <w:highlight w:val="none"/>
                      <w:lang w:val="en-US" w:eastAsia="zh-CN"/>
                    </w:rPr>
                    <w:t>氨氮</w:t>
                  </w:r>
                </w:p>
              </w:tc>
              <w:tc>
                <w:tcPr>
                  <w:tcW w:w="1044" w:type="dxa"/>
                  <w:tcBorders>
                    <w:tl2br w:val="nil"/>
                    <w:tr2bl w:val="nil"/>
                  </w:tcBorders>
                  <w:noWrap w:val="0"/>
                  <w:vAlign w:val="center"/>
                </w:tcPr>
                <w:p w14:paraId="468BFA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default" w:ascii="Times New Roman" w:hAnsi="Times New Roman" w:eastAsia="宋体" w:cs="Times New Roman"/>
                      <w:b/>
                      <w:snapToGrid w:val="0"/>
                      <w:color w:val="auto"/>
                      <w:sz w:val="21"/>
                      <w:szCs w:val="21"/>
                      <w:highlight w:val="none"/>
                      <w:lang w:val="en-US" w:eastAsia="zh-CN"/>
                    </w:rPr>
                    <w:t>总磷</w:t>
                  </w:r>
                </w:p>
              </w:tc>
              <w:tc>
                <w:tcPr>
                  <w:tcW w:w="1044" w:type="dxa"/>
                  <w:tcBorders>
                    <w:tl2br w:val="nil"/>
                    <w:tr2bl w:val="nil"/>
                  </w:tcBorders>
                  <w:noWrap w:val="0"/>
                  <w:vAlign w:val="center"/>
                </w:tcPr>
                <w:p w14:paraId="567C52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snapToGrid w:val="0"/>
                      <w:color w:val="auto"/>
                      <w:sz w:val="21"/>
                      <w:szCs w:val="21"/>
                      <w:highlight w:val="none"/>
                      <w:lang w:val="en-US" w:eastAsia="zh-CN"/>
                    </w:rPr>
                  </w:pPr>
                  <w:r>
                    <w:rPr>
                      <w:rFonts w:hint="eastAsia" w:cs="Times New Roman"/>
                      <w:b/>
                      <w:snapToGrid w:val="0"/>
                      <w:color w:val="auto"/>
                      <w:sz w:val="21"/>
                      <w:szCs w:val="21"/>
                      <w:highlight w:val="none"/>
                      <w:lang w:val="en-US" w:eastAsia="zh-CN"/>
                    </w:rPr>
                    <w:t>氟化物</w:t>
                  </w:r>
                </w:p>
              </w:tc>
            </w:tr>
            <w:tr w14:paraId="459425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restart"/>
                  <w:tcBorders>
                    <w:tl2br w:val="nil"/>
                    <w:tr2bl w:val="nil"/>
                  </w:tcBorders>
                  <w:noWrap w:val="0"/>
                  <w:vAlign w:val="center"/>
                </w:tcPr>
                <w:p w14:paraId="1203BF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W4-1</w:t>
                  </w:r>
                </w:p>
              </w:tc>
              <w:tc>
                <w:tcPr>
                  <w:tcW w:w="1802" w:type="dxa"/>
                  <w:tcBorders>
                    <w:tl2br w:val="nil"/>
                    <w:tr2bl w:val="nil"/>
                  </w:tcBorders>
                  <w:noWrap w:val="0"/>
                  <w:vAlign w:val="center"/>
                </w:tcPr>
                <w:p w14:paraId="40D33E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最小值</w:t>
                  </w:r>
                </w:p>
              </w:tc>
              <w:tc>
                <w:tcPr>
                  <w:tcW w:w="990" w:type="dxa"/>
                  <w:tcBorders>
                    <w:tl2br w:val="nil"/>
                    <w:tr2bl w:val="nil"/>
                  </w:tcBorders>
                  <w:noWrap w:val="0"/>
                  <w:vAlign w:val="center"/>
                </w:tcPr>
                <w:p w14:paraId="16BCBCF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7.5</w:t>
                  </w:r>
                </w:p>
              </w:tc>
              <w:tc>
                <w:tcPr>
                  <w:tcW w:w="1162" w:type="dxa"/>
                  <w:tcBorders>
                    <w:tl2br w:val="nil"/>
                    <w:tr2bl w:val="nil"/>
                  </w:tcBorders>
                  <w:noWrap w:val="0"/>
                  <w:vAlign w:val="center"/>
                </w:tcPr>
                <w:p w14:paraId="2BA4B17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8</w:t>
                  </w:r>
                </w:p>
              </w:tc>
              <w:tc>
                <w:tcPr>
                  <w:tcW w:w="1293" w:type="dxa"/>
                  <w:tcBorders>
                    <w:tl2br w:val="nil"/>
                    <w:tr2bl w:val="nil"/>
                  </w:tcBorders>
                  <w:noWrap w:val="0"/>
                  <w:vAlign w:val="center"/>
                </w:tcPr>
                <w:p w14:paraId="239BA4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0.504</w:t>
                  </w:r>
                </w:p>
              </w:tc>
              <w:tc>
                <w:tcPr>
                  <w:tcW w:w="1044" w:type="dxa"/>
                  <w:tcBorders>
                    <w:tl2br w:val="nil"/>
                    <w:tr2bl w:val="nil"/>
                  </w:tcBorders>
                  <w:noWrap w:val="0"/>
                  <w:vAlign w:val="center"/>
                </w:tcPr>
                <w:p w14:paraId="7A26D50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0.0</w:t>
                  </w:r>
                  <w:r>
                    <w:rPr>
                      <w:rFonts w:hint="default" w:cs="Times New Roman"/>
                      <w:bCs/>
                      <w:snapToGrid w:val="0"/>
                      <w:color w:val="auto"/>
                      <w:sz w:val="21"/>
                      <w:szCs w:val="21"/>
                      <w:highlight w:val="none"/>
                      <w:lang w:val="en-US" w:eastAsia="zh-CN"/>
                    </w:rPr>
                    <w:t>6</w:t>
                  </w:r>
                </w:p>
              </w:tc>
              <w:tc>
                <w:tcPr>
                  <w:tcW w:w="1044" w:type="dxa"/>
                  <w:tcBorders>
                    <w:tl2br w:val="nil"/>
                    <w:tr2bl w:val="nil"/>
                  </w:tcBorders>
                  <w:noWrap w:val="0"/>
                  <w:vAlign w:val="center"/>
                </w:tcPr>
                <w:p w14:paraId="783835E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0.81</w:t>
                  </w:r>
                </w:p>
              </w:tc>
            </w:tr>
            <w:tr w14:paraId="18FF55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595B02F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6172D94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最大值</w:t>
                  </w:r>
                </w:p>
              </w:tc>
              <w:tc>
                <w:tcPr>
                  <w:tcW w:w="990" w:type="dxa"/>
                  <w:tcBorders>
                    <w:tl2br w:val="nil"/>
                    <w:tr2bl w:val="nil"/>
                  </w:tcBorders>
                  <w:noWrap w:val="0"/>
                  <w:vAlign w:val="center"/>
                </w:tcPr>
                <w:p w14:paraId="12FC60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7.6</w:t>
                  </w:r>
                </w:p>
              </w:tc>
              <w:tc>
                <w:tcPr>
                  <w:tcW w:w="1162" w:type="dxa"/>
                  <w:tcBorders>
                    <w:tl2br w:val="nil"/>
                    <w:tr2bl w:val="nil"/>
                  </w:tcBorders>
                  <w:noWrap w:val="0"/>
                  <w:vAlign w:val="center"/>
                </w:tcPr>
                <w:p w14:paraId="767E89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9</w:t>
                  </w:r>
                </w:p>
              </w:tc>
              <w:tc>
                <w:tcPr>
                  <w:tcW w:w="1293" w:type="dxa"/>
                  <w:tcBorders>
                    <w:tl2br w:val="nil"/>
                    <w:tr2bl w:val="nil"/>
                  </w:tcBorders>
                  <w:noWrap w:val="0"/>
                  <w:vAlign w:val="center"/>
                </w:tcPr>
                <w:p w14:paraId="03F12C8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0.527</w:t>
                  </w:r>
                </w:p>
              </w:tc>
              <w:tc>
                <w:tcPr>
                  <w:tcW w:w="1044" w:type="dxa"/>
                  <w:tcBorders>
                    <w:tl2br w:val="nil"/>
                    <w:tr2bl w:val="nil"/>
                  </w:tcBorders>
                  <w:noWrap w:val="0"/>
                  <w:vAlign w:val="center"/>
                </w:tcPr>
                <w:p w14:paraId="48B193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0.0</w:t>
                  </w:r>
                  <w:r>
                    <w:rPr>
                      <w:rFonts w:hint="default" w:cs="Times New Roman"/>
                      <w:bCs/>
                      <w:snapToGrid w:val="0"/>
                      <w:color w:val="auto"/>
                      <w:sz w:val="21"/>
                      <w:szCs w:val="21"/>
                      <w:highlight w:val="none"/>
                      <w:lang w:val="en-US" w:eastAsia="zh-CN"/>
                    </w:rPr>
                    <w:t>7</w:t>
                  </w:r>
                </w:p>
              </w:tc>
              <w:tc>
                <w:tcPr>
                  <w:tcW w:w="1044" w:type="dxa"/>
                  <w:tcBorders>
                    <w:tl2br w:val="nil"/>
                    <w:tr2bl w:val="nil"/>
                  </w:tcBorders>
                  <w:noWrap w:val="0"/>
                  <w:vAlign w:val="center"/>
                </w:tcPr>
                <w:p w14:paraId="41E03BD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w:t>
                  </w:r>
                  <w:r>
                    <w:rPr>
                      <w:rFonts w:hint="default" w:cs="Times New Roman"/>
                      <w:bCs/>
                      <w:snapToGrid w:val="0"/>
                      <w:color w:val="auto"/>
                      <w:sz w:val="21"/>
                      <w:szCs w:val="21"/>
                      <w:highlight w:val="none"/>
                      <w:lang w:val="en-US" w:eastAsia="zh-CN"/>
                    </w:rPr>
                    <w:t>9</w:t>
                  </w:r>
                  <w:r>
                    <w:rPr>
                      <w:rFonts w:hint="eastAsia" w:cs="Times New Roman"/>
                      <w:bCs/>
                      <w:snapToGrid w:val="0"/>
                      <w:color w:val="auto"/>
                      <w:sz w:val="21"/>
                      <w:szCs w:val="21"/>
                      <w:highlight w:val="none"/>
                      <w:lang w:val="en-US" w:eastAsia="zh-CN"/>
                    </w:rPr>
                    <w:t>1</w:t>
                  </w:r>
                </w:p>
              </w:tc>
            </w:tr>
            <w:tr w14:paraId="2BBE03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7D6051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75B0BE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Ⅲ类水质标准值</w:t>
                  </w:r>
                </w:p>
              </w:tc>
              <w:tc>
                <w:tcPr>
                  <w:tcW w:w="990" w:type="dxa"/>
                  <w:tcBorders>
                    <w:tl2br w:val="nil"/>
                    <w:tr2bl w:val="nil"/>
                  </w:tcBorders>
                  <w:noWrap w:val="0"/>
                  <w:vAlign w:val="center"/>
                </w:tcPr>
                <w:p w14:paraId="727031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6-9</w:t>
                  </w:r>
                </w:p>
              </w:tc>
              <w:tc>
                <w:tcPr>
                  <w:tcW w:w="1162" w:type="dxa"/>
                  <w:tcBorders>
                    <w:tl2br w:val="nil"/>
                    <w:tr2bl w:val="nil"/>
                  </w:tcBorders>
                  <w:noWrap w:val="0"/>
                  <w:vAlign w:val="center"/>
                </w:tcPr>
                <w:p w14:paraId="065880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20</w:t>
                  </w:r>
                </w:p>
              </w:tc>
              <w:tc>
                <w:tcPr>
                  <w:tcW w:w="1293" w:type="dxa"/>
                  <w:tcBorders>
                    <w:tl2br w:val="nil"/>
                    <w:tr2bl w:val="nil"/>
                  </w:tcBorders>
                  <w:noWrap w:val="0"/>
                  <w:vAlign w:val="center"/>
                </w:tcPr>
                <w:p w14:paraId="5EA8A2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1.0</w:t>
                  </w:r>
                </w:p>
              </w:tc>
              <w:tc>
                <w:tcPr>
                  <w:tcW w:w="1044" w:type="dxa"/>
                  <w:tcBorders>
                    <w:tl2br w:val="nil"/>
                    <w:tr2bl w:val="nil"/>
                  </w:tcBorders>
                  <w:noWrap w:val="0"/>
                  <w:vAlign w:val="center"/>
                </w:tcPr>
                <w:p w14:paraId="02A2C7B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0.2</w:t>
                  </w:r>
                </w:p>
              </w:tc>
              <w:tc>
                <w:tcPr>
                  <w:tcW w:w="1044" w:type="dxa"/>
                  <w:tcBorders>
                    <w:tl2br w:val="nil"/>
                    <w:tr2bl w:val="nil"/>
                  </w:tcBorders>
                  <w:noWrap w:val="0"/>
                  <w:vAlign w:val="center"/>
                </w:tcPr>
                <w:p w14:paraId="2A5B493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1.0</w:t>
                  </w:r>
                </w:p>
              </w:tc>
            </w:tr>
            <w:tr w14:paraId="131E90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782E68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4EFC02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最大单因子指数</w:t>
                  </w:r>
                </w:p>
              </w:tc>
              <w:tc>
                <w:tcPr>
                  <w:tcW w:w="990" w:type="dxa"/>
                  <w:tcBorders>
                    <w:tl2br w:val="nil"/>
                    <w:tr2bl w:val="nil"/>
                  </w:tcBorders>
                  <w:noWrap w:val="0"/>
                  <w:vAlign w:val="center"/>
                </w:tcPr>
                <w:p w14:paraId="0C1006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3</w:t>
                  </w:r>
                </w:p>
              </w:tc>
              <w:tc>
                <w:tcPr>
                  <w:tcW w:w="1162" w:type="dxa"/>
                  <w:tcBorders>
                    <w:tl2br w:val="nil"/>
                    <w:tr2bl w:val="nil"/>
                  </w:tcBorders>
                  <w:noWrap w:val="0"/>
                  <w:vAlign w:val="center"/>
                </w:tcPr>
                <w:p w14:paraId="15F77DC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0.45</w:t>
                  </w:r>
                </w:p>
              </w:tc>
              <w:tc>
                <w:tcPr>
                  <w:tcW w:w="1293" w:type="dxa"/>
                  <w:tcBorders>
                    <w:tl2br w:val="nil"/>
                    <w:tr2bl w:val="nil"/>
                  </w:tcBorders>
                  <w:noWrap w:val="0"/>
                  <w:vAlign w:val="center"/>
                </w:tcPr>
                <w:p w14:paraId="3C0328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527</w:t>
                  </w:r>
                </w:p>
              </w:tc>
              <w:tc>
                <w:tcPr>
                  <w:tcW w:w="1044" w:type="dxa"/>
                  <w:tcBorders>
                    <w:tl2br w:val="nil"/>
                    <w:tr2bl w:val="nil"/>
                  </w:tcBorders>
                  <w:noWrap w:val="0"/>
                  <w:vAlign w:val="center"/>
                </w:tcPr>
                <w:p w14:paraId="6D5088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w:t>
                  </w:r>
                  <w:r>
                    <w:rPr>
                      <w:rFonts w:hint="default" w:cs="Times New Roman"/>
                      <w:bCs/>
                      <w:snapToGrid w:val="0"/>
                      <w:color w:val="auto"/>
                      <w:sz w:val="21"/>
                      <w:szCs w:val="21"/>
                      <w:highlight w:val="none"/>
                      <w:lang w:val="en-US" w:eastAsia="zh-CN"/>
                    </w:rPr>
                    <w:t>35</w:t>
                  </w:r>
                </w:p>
              </w:tc>
              <w:tc>
                <w:tcPr>
                  <w:tcW w:w="1044" w:type="dxa"/>
                  <w:tcBorders>
                    <w:tl2br w:val="nil"/>
                    <w:tr2bl w:val="nil"/>
                  </w:tcBorders>
                  <w:noWrap w:val="0"/>
                  <w:vAlign w:val="center"/>
                </w:tcPr>
                <w:p w14:paraId="6B4719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w:t>
                  </w:r>
                  <w:r>
                    <w:rPr>
                      <w:rFonts w:hint="default" w:cs="Times New Roman"/>
                      <w:bCs/>
                      <w:snapToGrid w:val="0"/>
                      <w:color w:val="auto"/>
                      <w:sz w:val="21"/>
                      <w:szCs w:val="21"/>
                      <w:highlight w:val="none"/>
                      <w:lang w:val="en-US" w:eastAsia="zh-CN"/>
                    </w:rPr>
                    <w:t>9</w:t>
                  </w:r>
                  <w:r>
                    <w:rPr>
                      <w:rFonts w:hint="eastAsia" w:cs="Times New Roman"/>
                      <w:bCs/>
                      <w:snapToGrid w:val="0"/>
                      <w:color w:val="auto"/>
                      <w:sz w:val="21"/>
                      <w:szCs w:val="21"/>
                      <w:highlight w:val="none"/>
                      <w:lang w:val="en-US" w:eastAsia="zh-CN"/>
                    </w:rPr>
                    <w:t>1</w:t>
                  </w:r>
                </w:p>
              </w:tc>
            </w:tr>
            <w:tr w14:paraId="63F132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7B7A14C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532B445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超标率</w:t>
                  </w:r>
                </w:p>
              </w:tc>
              <w:tc>
                <w:tcPr>
                  <w:tcW w:w="990" w:type="dxa"/>
                  <w:tcBorders>
                    <w:tl2br w:val="nil"/>
                    <w:tr2bl w:val="nil"/>
                  </w:tcBorders>
                  <w:noWrap w:val="0"/>
                  <w:vAlign w:val="center"/>
                </w:tcPr>
                <w:p w14:paraId="6C15ADE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p>
              </w:tc>
              <w:tc>
                <w:tcPr>
                  <w:tcW w:w="1162" w:type="dxa"/>
                  <w:tcBorders>
                    <w:tl2br w:val="nil"/>
                    <w:tr2bl w:val="nil"/>
                  </w:tcBorders>
                  <w:noWrap w:val="0"/>
                  <w:vAlign w:val="center"/>
                </w:tcPr>
                <w:p w14:paraId="16EAC2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p>
              </w:tc>
              <w:tc>
                <w:tcPr>
                  <w:tcW w:w="1293" w:type="dxa"/>
                  <w:tcBorders>
                    <w:tl2br w:val="nil"/>
                    <w:tr2bl w:val="nil"/>
                  </w:tcBorders>
                  <w:noWrap w:val="0"/>
                  <w:vAlign w:val="center"/>
                </w:tcPr>
                <w:p w14:paraId="27FA70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p>
              </w:tc>
              <w:tc>
                <w:tcPr>
                  <w:tcW w:w="1044" w:type="dxa"/>
                  <w:tcBorders>
                    <w:tl2br w:val="nil"/>
                    <w:tr2bl w:val="nil"/>
                  </w:tcBorders>
                  <w:noWrap w:val="0"/>
                  <w:vAlign w:val="center"/>
                </w:tcPr>
                <w:p w14:paraId="31282A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p>
              </w:tc>
              <w:tc>
                <w:tcPr>
                  <w:tcW w:w="1044" w:type="dxa"/>
                  <w:tcBorders>
                    <w:tl2br w:val="nil"/>
                    <w:tr2bl w:val="nil"/>
                  </w:tcBorders>
                  <w:noWrap w:val="0"/>
                  <w:vAlign w:val="center"/>
                </w:tcPr>
                <w:p w14:paraId="4F7CEFC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p>
              </w:tc>
            </w:tr>
            <w:tr w14:paraId="7096AA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465892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6F643E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是否达标</w:t>
                  </w:r>
                </w:p>
              </w:tc>
              <w:tc>
                <w:tcPr>
                  <w:tcW w:w="990" w:type="dxa"/>
                  <w:tcBorders>
                    <w:tl2br w:val="nil"/>
                    <w:tr2bl w:val="nil"/>
                  </w:tcBorders>
                  <w:noWrap w:val="0"/>
                  <w:vAlign w:val="center"/>
                </w:tcPr>
                <w:p w14:paraId="7C7D9E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是</w:t>
                  </w:r>
                </w:p>
              </w:tc>
              <w:tc>
                <w:tcPr>
                  <w:tcW w:w="1162" w:type="dxa"/>
                  <w:tcBorders>
                    <w:tl2br w:val="nil"/>
                    <w:tr2bl w:val="nil"/>
                  </w:tcBorders>
                  <w:noWrap w:val="0"/>
                  <w:vAlign w:val="center"/>
                </w:tcPr>
                <w:p w14:paraId="6781404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293" w:type="dxa"/>
                  <w:tcBorders>
                    <w:tl2br w:val="nil"/>
                    <w:tr2bl w:val="nil"/>
                  </w:tcBorders>
                  <w:noWrap w:val="0"/>
                  <w:vAlign w:val="center"/>
                </w:tcPr>
                <w:p w14:paraId="4AFE8F1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044" w:type="dxa"/>
                  <w:tcBorders>
                    <w:tl2br w:val="nil"/>
                    <w:tr2bl w:val="nil"/>
                  </w:tcBorders>
                  <w:noWrap w:val="0"/>
                  <w:vAlign w:val="center"/>
                </w:tcPr>
                <w:p w14:paraId="31E686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044" w:type="dxa"/>
                  <w:tcBorders>
                    <w:tl2br w:val="nil"/>
                    <w:tr2bl w:val="nil"/>
                  </w:tcBorders>
                  <w:noWrap w:val="0"/>
                  <w:vAlign w:val="center"/>
                </w:tcPr>
                <w:p w14:paraId="21B1C83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是</w:t>
                  </w:r>
                </w:p>
              </w:tc>
            </w:tr>
            <w:tr w14:paraId="275869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restart"/>
                  <w:tcBorders>
                    <w:tl2br w:val="nil"/>
                    <w:tr2bl w:val="nil"/>
                  </w:tcBorders>
                  <w:noWrap w:val="0"/>
                  <w:vAlign w:val="center"/>
                </w:tcPr>
                <w:p w14:paraId="61431B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W4-2</w:t>
                  </w:r>
                </w:p>
              </w:tc>
              <w:tc>
                <w:tcPr>
                  <w:tcW w:w="1802" w:type="dxa"/>
                  <w:tcBorders>
                    <w:tl2br w:val="nil"/>
                    <w:tr2bl w:val="nil"/>
                  </w:tcBorders>
                  <w:noWrap w:val="0"/>
                  <w:vAlign w:val="center"/>
                </w:tcPr>
                <w:p w14:paraId="2DA7E4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最小值</w:t>
                  </w:r>
                </w:p>
              </w:tc>
              <w:tc>
                <w:tcPr>
                  <w:tcW w:w="990" w:type="dxa"/>
                  <w:tcBorders>
                    <w:tl2br w:val="nil"/>
                    <w:tr2bl w:val="nil"/>
                  </w:tcBorders>
                  <w:noWrap w:val="0"/>
                  <w:vAlign w:val="center"/>
                </w:tcPr>
                <w:p w14:paraId="4109FF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7.6</w:t>
                  </w:r>
                </w:p>
              </w:tc>
              <w:tc>
                <w:tcPr>
                  <w:tcW w:w="1162" w:type="dxa"/>
                  <w:tcBorders>
                    <w:tl2br w:val="nil"/>
                    <w:tr2bl w:val="nil"/>
                  </w:tcBorders>
                  <w:noWrap w:val="0"/>
                  <w:vAlign w:val="center"/>
                </w:tcPr>
                <w:p w14:paraId="659498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7</w:t>
                  </w:r>
                </w:p>
              </w:tc>
              <w:tc>
                <w:tcPr>
                  <w:tcW w:w="1293" w:type="dxa"/>
                  <w:tcBorders>
                    <w:tl2br w:val="nil"/>
                    <w:tr2bl w:val="nil"/>
                  </w:tcBorders>
                  <w:noWrap w:val="0"/>
                  <w:vAlign w:val="center"/>
                </w:tcPr>
                <w:p w14:paraId="3AFDA3D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0.382</w:t>
                  </w:r>
                </w:p>
              </w:tc>
              <w:tc>
                <w:tcPr>
                  <w:tcW w:w="1044" w:type="dxa"/>
                  <w:tcBorders>
                    <w:tl2br w:val="nil"/>
                    <w:tr2bl w:val="nil"/>
                  </w:tcBorders>
                  <w:noWrap w:val="0"/>
                  <w:vAlign w:val="center"/>
                </w:tcPr>
                <w:p w14:paraId="5EFF1E8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0.01</w:t>
                  </w:r>
                </w:p>
              </w:tc>
              <w:tc>
                <w:tcPr>
                  <w:tcW w:w="1044" w:type="dxa"/>
                  <w:tcBorders>
                    <w:tl2br w:val="nil"/>
                    <w:tr2bl w:val="nil"/>
                  </w:tcBorders>
                  <w:noWrap w:val="0"/>
                  <w:vAlign w:val="center"/>
                </w:tcPr>
                <w:p w14:paraId="219C643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w:t>
                  </w:r>
                </w:p>
              </w:tc>
            </w:tr>
            <w:tr w14:paraId="35C99E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4BDC73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2B1F0C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最大值</w:t>
                  </w:r>
                </w:p>
              </w:tc>
              <w:tc>
                <w:tcPr>
                  <w:tcW w:w="990" w:type="dxa"/>
                  <w:tcBorders>
                    <w:tl2br w:val="nil"/>
                    <w:tr2bl w:val="nil"/>
                  </w:tcBorders>
                  <w:noWrap w:val="0"/>
                  <w:vAlign w:val="center"/>
                </w:tcPr>
                <w:p w14:paraId="0A40A7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7.7</w:t>
                  </w:r>
                </w:p>
              </w:tc>
              <w:tc>
                <w:tcPr>
                  <w:tcW w:w="1162" w:type="dxa"/>
                  <w:tcBorders>
                    <w:tl2br w:val="nil"/>
                    <w:tr2bl w:val="nil"/>
                  </w:tcBorders>
                  <w:noWrap w:val="0"/>
                  <w:vAlign w:val="center"/>
                </w:tcPr>
                <w:p w14:paraId="4B74D2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10</w:t>
                  </w:r>
                </w:p>
              </w:tc>
              <w:tc>
                <w:tcPr>
                  <w:tcW w:w="1293" w:type="dxa"/>
                  <w:tcBorders>
                    <w:tl2br w:val="nil"/>
                    <w:tr2bl w:val="nil"/>
                  </w:tcBorders>
                  <w:noWrap w:val="0"/>
                  <w:vAlign w:val="center"/>
                </w:tcPr>
                <w:p w14:paraId="2A36F40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0.408</w:t>
                  </w:r>
                </w:p>
              </w:tc>
              <w:tc>
                <w:tcPr>
                  <w:tcW w:w="1044" w:type="dxa"/>
                  <w:tcBorders>
                    <w:tl2br w:val="nil"/>
                    <w:tr2bl w:val="nil"/>
                  </w:tcBorders>
                  <w:noWrap w:val="0"/>
                  <w:vAlign w:val="center"/>
                </w:tcPr>
                <w:p w14:paraId="28CF9B5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0.04</w:t>
                  </w:r>
                </w:p>
              </w:tc>
              <w:tc>
                <w:tcPr>
                  <w:tcW w:w="1044" w:type="dxa"/>
                  <w:tcBorders>
                    <w:tl2br w:val="nil"/>
                    <w:tr2bl w:val="nil"/>
                  </w:tcBorders>
                  <w:noWrap w:val="0"/>
                  <w:vAlign w:val="center"/>
                </w:tcPr>
                <w:p w14:paraId="6634E5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0.52</w:t>
                  </w:r>
                </w:p>
              </w:tc>
            </w:tr>
            <w:tr w14:paraId="350C2B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033FDE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51EBDC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Ⅲ类水质标准值</w:t>
                  </w:r>
                </w:p>
              </w:tc>
              <w:tc>
                <w:tcPr>
                  <w:tcW w:w="990" w:type="dxa"/>
                  <w:tcBorders>
                    <w:tl2br w:val="nil"/>
                    <w:tr2bl w:val="nil"/>
                  </w:tcBorders>
                  <w:noWrap w:val="0"/>
                  <w:vAlign w:val="center"/>
                </w:tcPr>
                <w:p w14:paraId="20671F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6-9</w:t>
                  </w:r>
                </w:p>
              </w:tc>
              <w:tc>
                <w:tcPr>
                  <w:tcW w:w="1162" w:type="dxa"/>
                  <w:tcBorders>
                    <w:tl2br w:val="nil"/>
                    <w:tr2bl w:val="nil"/>
                  </w:tcBorders>
                  <w:noWrap w:val="0"/>
                  <w:vAlign w:val="center"/>
                </w:tcPr>
                <w:p w14:paraId="4567258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20</w:t>
                  </w:r>
                </w:p>
              </w:tc>
              <w:tc>
                <w:tcPr>
                  <w:tcW w:w="1293" w:type="dxa"/>
                  <w:tcBorders>
                    <w:tl2br w:val="nil"/>
                    <w:tr2bl w:val="nil"/>
                  </w:tcBorders>
                  <w:noWrap w:val="0"/>
                  <w:vAlign w:val="center"/>
                </w:tcPr>
                <w:p w14:paraId="1F7305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1.0</w:t>
                  </w:r>
                </w:p>
              </w:tc>
              <w:tc>
                <w:tcPr>
                  <w:tcW w:w="1044" w:type="dxa"/>
                  <w:tcBorders>
                    <w:tl2br w:val="nil"/>
                    <w:tr2bl w:val="nil"/>
                  </w:tcBorders>
                  <w:noWrap w:val="0"/>
                  <w:vAlign w:val="center"/>
                </w:tcPr>
                <w:p w14:paraId="21DF66D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0.2</w:t>
                  </w:r>
                </w:p>
              </w:tc>
              <w:tc>
                <w:tcPr>
                  <w:tcW w:w="1044" w:type="dxa"/>
                  <w:tcBorders>
                    <w:tl2br w:val="nil"/>
                    <w:tr2bl w:val="nil"/>
                  </w:tcBorders>
                  <w:noWrap w:val="0"/>
                  <w:vAlign w:val="center"/>
                </w:tcPr>
                <w:p w14:paraId="72D892A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1</w:t>
                  </w:r>
                </w:p>
              </w:tc>
            </w:tr>
            <w:tr w14:paraId="1FF057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42DDF7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72D717C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rPr>
                    <w:t>最大单因子指数</w:t>
                  </w:r>
                </w:p>
              </w:tc>
              <w:tc>
                <w:tcPr>
                  <w:tcW w:w="990" w:type="dxa"/>
                  <w:tcBorders>
                    <w:tl2br w:val="nil"/>
                    <w:tr2bl w:val="nil"/>
                  </w:tcBorders>
                  <w:noWrap w:val="0"/>
                  <w:vAlign w:val="center"/>
                </w:tcPr>
                <w:p w14:paraId="6D9C3C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35</w:t>
                  </w:r>
                </w:p>
              </w:tc>
              <w:tc>
                <w:tcPr>
                  <w:tcW w:w="1162" w:type="dxa"/>
                  <w:tcBorders>
                    <w:tl2br w:val="nil"/>
                    <w:tr2bl w:val="nil"/>
                  </w:tcBorders>
                  <w:noWrap w:val="0"/>
                  <w:vAlign w:val="center"/>
                </w:tcPr>
                <w:p w14:paraId="2DEEFA7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5</w:t>
                  </w:r>
                </w:p>
              </w:tc>
              <w:tc>
                <w:tcPr>
                  <w:tcW w:w="1293" w:type="dxa"/>
                  <w:tcBorders>
                    <w:tl2br w:val="nil"/>
                    <w:tr2bl w:val="nil"/>
                  </w:tcBorders>
                  <w:noWrap w:val="0"/>
                  <w:vAlign w:val="center"/>
                </w:tcPr>
                <w:p w14:paraId="3F3474B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408</w:t>
                  </w:r>
                </w:p>
              </w:tc>
              <w:tc>
                <w:tcPr>
                  <w:tcW w:w="1044" w:type="dxa"/>
                  <w:tcBorders>
                    <w:tl2br w:val="nil"/>
                    <w:tr2bl w:val="nil"/>
                  </w:tcBorders>
                  <w:noWrap w:val="0"/>
                  <w:vAlign w:val="center"/>
                </w:tcPr>
                <w:p w14:paraId="0888FD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2</w:t>
                  </w:r>
                </w:p>
              </w:tc>
              <w:tc>
                <w:tcPr>
                  <w:tcW w:w="1044" w:type="dxa"/>
                  <w:tcBorders>
                    <w:tl2br w:val="nil"/>
                    <w:tr2bl w:val="nil"/>
                  </w:tcBorders>
                  <w:noWrap w:val="0"/>
                  <w:vAlign w:val="center"/>
                </w:tcPr>
                <w:p w14:paraId="47BE36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0.52</w:t>
                  </w:r>
                </w:p>
              </w:tc>
            </w:tr>
            <w:tr w14:paraId="784AF5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4119FD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0B7620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超标率</w:t>
                  </w:r>
                </w:p>
              </w:tc>
              <w:tc>
                <w:tcPr>
                  <w:tcW w:w="990" w:type="dxa"/>
                  <w:tcBorders>
                    <w:tl2br w:val="nil"/>
                    <w:tr2bl w:val="nil"/>
                  </w:tcBorders>
                  <w:noWrap w:val="0"/>
                  <w:vAlign w:val="center"/>
                </w:tcPr>
                <w:p w14:paraId="2C9D226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0</w:t>
                  </w:r>
                </w:p>
              </w:tc>
              <w:tc>
                <w:tcPr>
                  <w:tcW w:w="1162" w:type="dxa"/>
                  <w:tcBorders>
                    <w:tl2br w:val="nil"/>
                    <w:tr2bl w:val="nil"/>
                  </w:tcBorders>
                  <w:noWrap w:val="0"/>
                  <w:vAlign w:val="center"/>
                </w:tcPr>
                <w:p w14:paraId="217C8C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0</w:t>
                  </w:r>
                </w:p>
              </w:tc>
              <w:tc>
                <w:tcPr>
                  <w:tcW w:w="1293" w:type="dxa"/>
                  <w:tcBorders>
                    <w:tl2br w:val="nil"/>
                    <w:tr2bl w:val="nil"/>
                  </w:tcBorders>
                  <w:noWrap w:val="0"/>
                  <w:vAlign w:val="center"/>
                </w:tcPr>
                <w:p w14:paraId="40FCA8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0</w:t>
                  </w:r>
                </w:p>
              </w:tc>
              <w:tc>
                <w:tcPr>
                  <w:tcW w:w="1044" w:type="dxa"/>
                  <w:tcBorders>
                    <w:tl2br w:val="nil"/>
                    <w:tr2bl w:val="nil"/>
                  </w:tcBorders>
                  <w:noWrap w:val="0"/>
                  <w:vAlign w:val="center"/>
                </w:tcPr>
                <w:p w14:paraId="797B8F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0</w:t>
                  </w:r>
                </w:p>
              </w:tc>
              <w:tc>
                <w:tcPr>
                  <w:tcW w:w="1044" w:type="dxa"/>
                  <w:tcBorders>
                    <w:tl2br w:val="nil"/>
                    <w:tr2bl w:val="nil"/>
                  </w:tcBorders>
                  <w:shd w:val="clear" w:color="auto" w:fill="auto"/>
                  <w:noWrap w:val="0"/>
                  <w:vAlign w:val="center"/>
                </w:tcPr>
                <w:p w14:paraId="6437E24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p>
              </w:tc>
            </w:tr>
            <w:tr w14:paraId="14DA12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414E93F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noWrap w:val="0"/>
                  <w:vAlign w:val="center"/>
                </w:tcPr>
                <w:p w14:paraId="451026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是否达标</w:t>
                  </w:r>
                </w:p>
              </w:tc>
              <w:tc>
                <w:tcPr>
                  <w:tcW w:w="990" w:type="dxa"/>
                  <w:tcBorders>
                    <w:tl2br w:val="nil"/>
                    <w:tr2bl w:val="nil"/>
                  </w:tcBorders>
                  <w:noWrap w:val="0"/>
                  <w:vAlign w:val="center"/>
                </w:tcPr>
                <w:p w14:paraId="2D9F25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162" w:type="dxa"/>
                  <w:tcBorders>
                    <w:tl2br w:val="nil"/>
                    <w:tr2bl w:val="nil"/>
                  </w:tcBorders>
                  <w:noWrap w:val="0"/>
                  <w:vAlign w:val="center"/>
                </w:tcPr>
                <w:p w14:paraId="05774E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293" w:type="dxa"/>
                  <w:tcBorders>
                    <w:tl2br w:val="nil"/>
                    <w:tr2bl w:val="nil"/>
                  </w:tcBorders>
                  <w:noWrap w:val="0"/>
                  <w:vAlign w:val="center"/>
                </w:tcPr>
                <w:p w14:paraId="53A51D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044" w:type="dxa"/>
                  <w:tcBorders>
                    <w:tl2br w:val="nil"/>
                    <w:tr2bl w:val="nil"/>
                  </w:tcBorders>
                  <w:noWrap w:val="0"/>
                  <w:vAlign w:val="center"/>
                </w:tcPr>
                <w:p w14:paraId="594790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rPr>
                  </w:pPr>
                  <w:r>
                    <w:rPr>
                      <w:rFonts w:hint="default" w:ascii="Times New Roman" w:hAnsi="Times New Roman" w:eastAsia="宋体" w:cs="Times New Roman"/>
                      <w:bCs/>
                      <w:snapToGrid w:val="0"/>
                      <w:color w:val="auto"/>
                      <w:sz w:val="21"/>
                      <w:szCs w:val="21"/>
                      <w:highlight w:val="none"/>
                      <w:lang w:val="en-US" w:eastAsia="zh-CN"/>
                    </w:rPr>
                    <w:t>是</w:t>
                  </w:r>
                </w:p>
              </w:tc>
              <w:tc>
                <w:tcPr>
                  <w:tcW w:w="1044" w:type="dxa"/>
                  <w:tcBorders>
                    <w:tl2br w:val="nil"/>
                    <w:tr2bl w:val="nil"/>
                  </w:tcBorders>
                  <w:shd w:val="clear" w:color="auto" w:fill="auto"/>
                  <w:noWrap w:val="0"/>
                  <w:vAlign w:val="center"/>
                </w:tcPr>
                <w:p w14:paraId="39EF359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w:t>
                  </w:r>
                </w:p>
              </w:tc>
            </w:tr>
            <w:tr w14:paraId="7534FD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restart"/>
                  <w:tcBorders>
                    <w:tl2br w:val="nil"/>
                    <w:tr2bl w:val="nil"/>
                  </w:tcBorders>
                  <w:noWrap w:val="0"/>
                  <w:vAlign w:val="center"/>
                </w:tcPr>
                <w:p w14:paraId="0376BD6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W4-3</w:t>
                  </w:r>
                </w:p>
              </w:tc>
              <w:tc>
                <w:tcPr>
                  <w:tcW w:w="1802" w:type="dxa"/>
                  <w:tcBorders>
                    <w:tl2br w:val="nil"/>
                    <w:tr2bl w:val="nil"/>
                  </w:tcBorders>
                  <w:shd w:val="clear" w:color="auto" w:fill="auto"/>
                  <w:noWrap w:val="0"/>
                  <w:vAlign w:val="center"/>
                </w:tcPr>
                <w:p w14:paraId="0EA5EC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最小值</w:t>
                  </w:r>
                </w:p>
              </w:tc>
              <w:tc>
                <w:tcPr>
                  <w:tcW w:w="990" w:type="dxa"/>
                  <w:tcBorders>
                    <w:tl2br w:val="nil"/>
                    <w:tr2bl w:val="nil"/>
                  </w:tcBorders>
                  <w:noWrap w:val="0"/>
                  <w:vAlign w:val="center"/>
                </w:tcPr>
                <w:p w14:paraId="3FF577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7.7</w:t>
                  </w:r>
                </w:p>
              </w:tc>
              <w:tc>
                <w:tcPr>
                  <w:tcW w:w="1162" w:type="dxa"/>
                  <w:tcBorders>
                    <w:tl2br w:val="nil"/>
                    <w:tr2bl w:val="nil"/>
                  </w:tcBorders>
                  <w:noWrap w:val="0"/>
                  <w:vAlign w:val="center"/>
                </w:tcPr>
                <w:p w14:paraId="0D4C76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7</w:t>
                  </w:r>
                </w:p>
              </w:tc>
              <w:tc>
                <w:tcPr>
                  <w:tcW w:w="1293" w:type="dxa"/>
                  <w:tcBorders>
                    <w:tl2br w:val="nil"/>
                    <w:tr2bl w:val="nil"/>
                  </w:tcBorders>
                  <w:noWrap w:val="0"/>
                  <w:vAlign w:val="center"/>
                </w:tcPr>
                <w:p w14:paraId="2FDE14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0.370</w:t>
                  </w:r>
                </w:p>
              </w:tc>
              <w:tc>
                <w:tcPr>
                  <w:tcW w:w="1044" w:type="dxa"/>
                  <w:tcBorders>
                    <w:tl2br w:val="nil"/>
                    <w:tr2bl w:val="nil"/>
                  </w:tcBorders>
                  <w:noWrap w:val="0"/>
                  <w:vAlign w:val="center"/>
                </w:tcPr>
                <w:p w14:paraId="45E54BC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0.03</w:t>
                  </w:r>
                </w:p>
              </w:tc>
              <w:tc>
                <w:tcPr>
                  <w:tcW w:w="1044" w:type="dxa"/>
                  <w:tcBorders>
                    <w:tl2br w:val="nil"/>
                    <w:tr2bl w:val="nil"/>
                  </w:tcBorders>
                  <w:noWrap w:val="0"/>
                  <w:vAlign w:val="center"/>
                </w:tcPr>
                <w:p w14:paraId="7ACD45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0.44</w:t>
                  </w:r>
                </w:p>
              </w:tc>
            </w:tr>
            <w:tr w14:paraId="5B18FA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48B498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shd w:val="clear" w:color="auto" w:fill="auto"/>
                  <w:noWrap w:val="0"/>
                  <w:vAlign w:val="center"/>
                </w:tcPr>
                <w:p w14:paraId="76F187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最大值</w:t>
                  </w:r>
                </w:p>
              </w:tc>
              <w:tc>
                <w:tcPr>
                  <w:tcW w:w="990" w:type="dxa"/>
                  <w:tcBorders>
                    <w:tl2br w:val="nil"/>
                    <w:tr2bl w:val="nil"/>
                  </w:tcBorders>
                  <w:noWrap w:val="0"/>
                  <w:vAlign w:val="center"/>
                </w:tcPr>
                <w:p w14:paraId="3094A0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7.8</w:t>
                  </w:r>
                </w:p>
              </w:tc>
              <w:tc>
                <w:tcPr>
                  <w:tcW w:w="1162" w:type="dxa"/>
                  <w:tcBorders>
                    <w:tl2br w:val="nil"/>
                    <w:tr2bl w:val="nil"/>
                  </w:tcBorders>
                  <w:noWrap w:val="0"/>
                  <w:vAlign w:val="center"/>
                </w:tcPr>
                <w:p w14:paraId="74D2AD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default" w:ascii="Times New Roman" w:hAnsi="Times New Roman" w:eastAsia="宋体" w:cs="Times New Roman"/>
                      <w:bCs/>
                      <w:snapToGrid w:val="0"/>
                      <w:color w:val="auto"/>
                      <w:sz w:val="21"/>
                      <w:szCs w:val="21"/>
                      <w:highlight w:val="none"/>
                      <w:lang w:val="en-US" w:eastAsia="zh-CN"/>
                    </w:rPr>
                    <w:t>8</w:t>
                  </w:r>
                </w:p>
              </w:tc>
              <w:tc>
                <w:tcPr>
                  <w:tcW w:w="1293" w:type="dxa"/>
                  <w:tcBorders>
                    <w:tl2br w:val="nil"/>
                    <w:tr2bl w:val="nil"/>
                  </w:tcBorders>
                  <w:noWrap w:val="0"/>
                  <w:vAlign w:val="center"/>
                </w:tcPr>
                <w:p w14:paraId="542393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0.391</w:t>
                  </w:r>
                </w:p>
              </w:tc>
              <w:tc>
                <w:tcPr>
                  <w:tcW w:w="1044" w:type="dxa"/>
                  <w:tcBorders>
                    <w:tl2br w:val="nil"/>
                    <w:tr2bl w:val="nil"/>
                  </w:tcBorders>
                  <w:noWrap w:val="0"/>
                  <w:vAlign w:val="center"/>
                </w:tcPr>
                <w:p w14:paraId="7E94F60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0.04</w:t>
                  </w:r>
                </w:p>
              </w:tc>
              <w:tc>
                <w:tcPr>
                  <w:tcW w:w="1044" w:type="dxa"/>
                  <w:tcBorders>
                    <w:tl2br w:val="nil"/>
                    <w:tr2bl w:val="nil"/>
                  </w:tcBorders>
                  <w:noWrap w:val="0"/>
                  <w:vAlign w:val="center"/>
                </w:tcPr>
                <w:p w14:paraId="2DD4FA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w:t>
                  </w:r>
                </w:p>
              </w:tc>
            </w:tr>
            <w:tr w14:paraId="257F9B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2F3E3B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shd w:val="clear" w:color="auto" w:fill="auto"/>
                  <w:noWrap w:val="0"/>
                  <w:vAlign w:val="center"/>
                </w:tcPr>
                <w:p w14:paraId="30A571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Ⅲ类水质标准值</w:t>
                  </w:r>
                </w:p>
              </w:tc>
              <w:tc>
                <w:tcPr>
                  <w:tcW w:w="990" w:type="dxa"/>
                  <w:tcBorders>
                    <w:tl2br w:val="nil"/>
                    <w:tr2bl w:val="nil"/>
                  </w:tcBorders>
                  <w:shd w:val="clear" w:color="auto" w:fill="auto"/>
                  <w:noWrap w:val="0"/>
                  <w:vAlign w:val="center"/>
                </w:tcPr>
                <w:p w14:paraId="39D664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6-9</w:t>
                  </w:r>
                </w:p>
              </w:tc>
              <w:tc>
                <w:tcPr>
                  <w:tcW w:w="1162" w:type="dxa"/>
                  <w:tcBorders>
                    <w:tl2br w:val="nil"/>
                    <w:tr2bl w:val="nil"/>
                  </w:tcBorders>
                  <w:shd w:val="clear" w:color="auto" w:fill="auto"/>
                  <w:noWrap w:val="0"/>
                  <w:vAlign w:val="center"/>
                </w:tcPr>
                <w:p w14:paraId="677A02B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20</w:t>
                  </w:r>
                </w:p>
              </w:tc>
              <w:tc>
                <w:tcPr>
                  <w:tcW w:w="1293" w:type="dxa"/>
                  <w:tcBorders>
                    <w:tl2br w:val="nil"/>
                    <w:tr2bl w:val="nil"/>
                  </w:tcBorders>
                  <w:shd w:val="clear" w:color="auto" w:fill="auto"/>
                  <w:noWrap w:val="0"/>
                  <w:vAlign w:val="center"/>
                </w:tcPr>
                <w:p w14:paraId="0032F4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1.0</w:t>
                  </w:r>
                </w:p>
              </w:tc>
              <w:tc>
                <w:tcPr>
                  <w:tcW w:w="1044" w:type="dxa"/>
                  <w:tcBorders>
                    <w:tl2br w:val="nil"/>
                    <w:tr2bl w:val="nil"/>
                  </w:tcBorders>
                  <w:shd w:val="clear" w:color="auto" w:fill="auto"/>
                  <w:noWrap w:val="0"/>
                  <w:vAlign w:val="center"/>
                </w:tcPr>
                <w:p w14:paraId="2FE2D0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0.2</w:t>
                  </w:r>
                </w:p>
              </w:tc>
              <w:tc>
                <w:tcPr>
                  <w:tcW w:w="1044" w:type="dxa"/>
                  <w:tcBorders>
                    <w:tl2br w:val="nil"/>
                    <w:tr2bl w:val="nil"/>
                  </w:tcBorders>
                  <w:shd w:val="clear" w:color="auto" w:fill="auto"/>
                  <w:noWrap w:val="0"/>
                  <w:vAlign w:val="center"/>
                </w:tcPr>
                <w:p w14:paraId="10C999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1</w:t>
                  </w:r>
                </w:p>
              </w:tc>
            </w:tr>
            <w:tr w14:paraId="64B190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2B1FF9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shd w:val="clear" w:color="auto" w:fill="auto"/>
                  <w:noWrap w:val="0"/>
                  <w:vAlign w:val="center"/>
                </w:tcPr>
                <w:p w14:paraId="167A5A6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rPr>
                    <w:t>最大单因子指数</w:t>
                  </w:r>
                </w:p>
              </w:tc>
              <w:tc>
                <w:tcPr>
                  <w:tcW w:w="990" w:type="dxa"/>
                  <w:tcBorders>
                    <w:tl2br w:val="nil"/>
                    <w:tr2bl w:val="nil"/>
                  </w:tcBorders>
                  <w:shd w:val="clear" w:color="auto" w:fill="auto"/>
                  <w:noWrap w:val="0"/>
                  <w:vAlign w:val="center"/>
                </w:tcPr>
                <w:p w14:paraId="7921771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4</w:t>
                  </w:r>
                </w:p>
              </w:tc>
              <w:tc>
                <w:tcPr>
                  <w:tcW w:w="1162" w:type="dxa"/>
                  <w:tcBorders>
                    <w:tl2br w:val="nil"/>
                    <w:tr2bl w:val="nil"/>
                  </w:tcBorders>
                  <w:shd w:val="clear" w:color="auto" w:fill="auto"/>
                  <w:noWrap w:val="0"/>
                  <w:vAlign w:val="center"/>
                </w:tcPr>
                <w:p w14:paraId="1534109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4</w:t>
                  </w:r>
                </w:p>
              </w:tc>
              <w:tc>
                <w:tcPr>
                  <w:tcW w:w="1293" w:type="dxa"/>
                  <w:tcBorders>
                    <w:tl2br w:val="nil"/>
                    <w:tr2bl w:val="nil"/>
                  </w:tcBorders>
                  <w:shd w:val="clear" w:color="auto" w:fill="auto"/>
                  <w:noWrap w:val="0"/>
                  <w:vAlign w:val="center"/>
                </w:tcPr>
                <w:p w14:paraId="0B67BD1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391</w:t>
                  </w:r>
                </w:p>
              </w:tc>
              <w:tc>
                <w:tcPr>
                  <w:tcW w:w="1044" w:type="dxa"/>
                  <w:tcBorders>
                    <w:tl2br w:val="nil"/>
                    <w:tr2bl w:val="nil"/>
                  </w:tcBorders>
                  <w:shd w:val="clear" w:color="auto" w:fill="auto"/>
                  <w:noWrap w:val="0"/>
                  <w:vAlign w:val="center"/>
                </w:tcPr>
                <w:p w14:paraId="0776FD6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r>
                    <w:rPr>
                      <w:rFonts w:hint="eastAsia" w:cs="Times New Roman"/>
                      <w:bCs/>
                      <w:snapToGrid w:val="0"/>
                      <w:color w:val="auto"/>
                      <w:sz w:val="21"/>
                      <w:szCs w:val="21"/>
                      <w:highlight w:val="none"/>
                      <w:lang w:val="en-US" w:eastAsia="zh-CN"/>
                    </w:rPr>
                    <w:t>2</w:t>
                  </w:r>
                </w:p>
              </w:tc>
              <w:tc>
                <w:tcPr>
                  <w:tcW w:w="1044" w:type="dxa"/>
                  <w:tcBorders>
                    <w:tl2br w:val="nil"/>
                    <w:tr2bl w:val="nil"/>
                  </w:tcBorders>
                  <w:shd w:val="clear" w:color="auto" w:fill="auto"/>
                  <w:noWrap w:val="0"/>
                  <w:vAlign w:val="center"/>
                </w:tcPr>
                <w:p w14:paraId="05C28D4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r>
                    <w:rPr>
                      <w:rFonts w:hint="eastAsia" w:cs="Times New Roman"/>
                      <w:bCs/>
                      <w:snapToGrid w:val="0"/>
                      <w:color w:val="auto"/>
                      <w:sz w:val="21"/>
                      <w:szCs w:val="21"/>
                      <w:highlight w:val="none"/>
                      <w:lang w:val="en-US" w:eastAsia="zh-CN"/>
                    </w:rPr>
                    <w:t>0.5</w:t>
                  </w:r>
                </w:p>
              </w:tc>
            </w:tr>
            <w:tr w14:paraId="2AEDBD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881" w:type="dxa"/>
                  <w:vMerge w:val="continue"/>
                  <w:tcBorders>
                    <w:tl2br w:val="nil"/>
                    <w:tr2bl w:val="nil"/>
                  </w:tcBorders>
                  <w:noWrap w:val="0"/>
                  <w:vAlign w:val="center"/>
                </w:tcPr>
                <w:p w14:paraId="200A2C1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shd w:val="clear" w:color="auto" w:fill="auto"/>
                  <w:noWrap w:val="0"/>
                  <w:vAlign w:val="center"/>
                </w:tcPr>
                <w:p w14:paraId="2EAD9A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超标率</w:t>
                  </w:r>
                </w:p>
              </w:tc>
              <w:tc>
                <w:tcPr>
                  <w:tcW w:w="990" w:type="dxa"/>
                  <w:tcBorders>
                    <w:tl2br w:val="nil"/>
                    <w:tr2bl w:val="nil"/>
                  </w:tcBorders>
                  <w:shd w:val="clear" w:color="auto" w:fill="auto"/>
                  <w:noWrap w:val="0"/>
                  <w:vAlign w:val="center"/>
                </w:tcPr>
                <w:p w14:paraId="54920B5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p>
              </w:tc>
              <w:tc>
                <w:tcPr>
                  <w:tcW w:w="1162" w:type="dxa"/>
                  <w:tcBorders>
                    <w:tl2br w:val="nil"/>
                    <w:tr2bl w:val="nil"/>
                  </w:tcBorders>
                  <w:shd w:val="clear" w:color="auto" w:fill="auto"/>
                  <w:noWrap w:val="0"/>
                  <w:vAlign w:val="center"/>
                </w:tcPr>
                <w:p w14:paraId="0186C3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p>
              </w:tc>
              <w:tc>
                <w:tcPr>
                  <w:tcW w:w="1293" w:type="dxa"/>
                  <w:tcBorders>
                    <w:tl2br w:val="nil"/>
                    <w:tr2bl w:val="nil"/>
                  </w:tcBorders>
                  <w:shd w:val="clear" w:color="auto" w:fill="auto"/>
                  <w:noWrap w:val="0"/>
                  <w:vAlign w:val="center"/>
                </w:tcPr>
                <w:p w14:paraId="291C01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p>
              </w:tc>
              <w:tc>
                <w:tcPr>
                  <w:tcW w:w="1044" w:type="dxa"/>
                  <w:tcBorders>
                    <w:tl2br w:val="nil"/>
                    <w:tr2bl w:val="nil"/>
                  </w:tcBorders>
                  <w:shd w:val="clear" w:color="auto" w:fill="auto"/>
                  <w:noWrap w:val="0"/>
                  <w:vAlign w:val="center"/>
                </w:tcPr>
                <w:p w14:paraId="073DEE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p>
              </w:tc>
              <w:tc>
                <w:tcPr>
                  <w:tcW w:w="1044" w:type="dxa"/>
                  <w:tcBorders>
                    <w:tl2br w:val="nil"/>
                    <w:tr2bl w:val="nil"/>
                  </w:tcBorders>
                  <w:shd w:val="clear" w:color="auto" w:fill="auto"/>
                  <w:noWrap w:val="0"/>
                  <w:vAlign w:val="center"/>
                </w:tcPr>
                <w:p w14:paraId="7ADF61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0</w:t>
                  </w:r>
                </w:p>
              </w:tc>
            </w:tr>
            <w:tr w14:paraId="56B773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81" w:type="dxa"/>
                  <w:vMerge w:val="continue"/>
                  <w:tcBorders>
                    <w:tl2br w:val="nil"/>
                    <w:tr2bl w:val="nil"/>
                  </w:tcBorders>
                  <w:noWrap w:val="0"/>
                  <w:vAlign w:val="center"/>
                </w:tcPr>
                <w:p w14:paraId="2E13C5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sz w:val="21"/>
                      <w:szCs w:val="21"/>
                      <w:highlight w:val="none"/>
                      <w:lang w:val="en-US" w:eastAsia="zh-CN"/>
                    </w:rPr>
                  </w:pPr>
                </w:p>
              </w:tc>
              <w:tc>
                <w:tcPr>
                  <w:tcW w:w="1802" w:type="dxa"/>
                  <w:tcBorders>
                    <w:tl2br w:val="nil"/>
                    <w:tr2bl w:val="nil"/>
                  </w:tcBorders>
                  <w:shd w:val="clear" w:color="auto" w:fill="auto"/>
                  <w:noWrap w:val="0"/>
                  <w:vAlign w:val="center"/>
                </w:tcPr>
                <w:p w14:paraId="64D089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是否达标</w:t>
                  </w:r>
                </w:p>
              </w:tc>
              <w:tc>
                <w:tcPr>
                  <w:tcW w:w="990" w:type="dxa"/>
                  <w:tcBorders>
                    <w:tl2br w:val="nil"/>
                    <w:tr2bl w:val="nil"/>
                  </w:tcBorders>
                  <w:shd w:val="clear" w:color="auto" w:fill="auto"/>
                  <w:noWrap w:val="0"/>
                  <w:vAlign w:val="center"/>
                </w:tcPr>
                <w:p w14:paraId="7CAF0D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w:t>
                  </w:r>
                </w:p>
              </w:tc>
              <w:tc>
                <w:tcPr>
                  <w:tcW w:w="1162" w:type="dxa"/>
                  <w:tcBorders>
                    <w:tl2br w:val="nil"/>
                    <w:tr2bl w:val="nil"/>
                  </w:tcBorders>
                  <w:shd w:val="clear" w:color="auto" w:fill="auto"/>
                  <w:noWrap w:val="0"/>
                  <w:vAlign w:val="center"/>
                </w:tcPr>
                <w:p w14:paraId="2389AC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w:t>
                  </w:r>
                </w:p>
              </w:tc>
              <w:tc>
                <w:tcPr>
                  <w:tcW w:w="1293" w:type="dxa"/>
                  <w:tcBorders>
                    <w:tl2br w:val="nil"/>
                    <w:tr2bl w:val="nil"/>
                  </w:tcBorders>
                  <w:shd w:val="clear" w:color="auto" w:fill="auto"/>
                  <w:noWrap w:val="0"/>
                  <w:vAlign w:val="center"/>
                </w:tcPr>
                <w:p w14:paraId="243F8F4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w:t>
                  </w:r>
                </w:p>
              </w:tc>
              <w:tc>
                <w:tcPr>
                  <w:tcW w:w="1044" w:type="dxa"/>
                  <w:tcBorders>
                    <w:tl2br w:val="nil"/>
                    <w:tr2bl w:val="nil"/>
                  </w:tcBorders>
                  <w:shd w:val="clear" w:color="auto" w:fill="auto"/>
                  <w:noWrap w:val="0"/>
                  <w:vAlign w:val="center"/>
                </w:tcPr>
                <w:p w14:paraId="35D808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w:t>
                  </w:r>
                </w:p>
              </w:tc>
              <w:tc>
                <w:tcPr>
                  <w:tcW w:w="1044" w:type="dxa"/>
                  <w:tcBorders>
                    <w:tl2br w:val="nil"/>
                    <w:tr2bl w:val="nil"/>
                  </w:tcBorders>
                  <w:shd w:val="clear" w:color="auto" w:fill="auto"/>
                  <w:noWrap w:val="0"/>
                  <w:vAlign w:val="center"/>
                </w:tcPr>
                <w:p w14:paraId="6B464D4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Cs/>
                      <w:snapToGrid w:val="0"/>
                      <w:color w:val="auto"/>
                      <w:kern w:val="2"/>
                      <w:sz w:val="21"/>
                      <w:szCs w:val="21"/>
                      <w:highlight w:val="none"/>
                      <w:lang w:val="en-US" w:eastAsia="zh-CN" w:bidi="ar-SA"/>
                    </w:rPr>
                  </w:pPr>
                  <w:r>
                    <w:rPr>
                      <w:rFonts w:hint="default" w:ascii="Times New Roman" w:hAnsi="Times New Roman" w:eastAsia="宋体" w:cs="Times New Roman"/>
                      <w:bCs/>
                      <w:snapToGrid w:val="0"/>
                      <w:color w:val="auto"/>
                      <w:sz w:val="21"/>
                      <w:szCs w:val="21"/>
                      <w:highlight w:val="none"/>
                      <w:lang w:val="en-US" w:eastAsia="zh-CN"/>
                    </w:rPr>
                    <w:t>是</w:t>
                  </w:r>
                </w:p>
              </w:tc>
            </w:tr>
          </w:tbl>
          <w:p w14:paraId="3529BCA3">
            <w:pPr>
              <w:bidi w:val="0"/>
              <w:rPr>
                <w:rFonts w:hint="default"/>
                <w:color w:val="auto"/>
                <w:highlight w:val="none"/>
                <w:lang w:val="en-US"/>
              </w:rPr>
            </w:pPr>
            <w:r>
              <w:rPr>
                <w:rFonts w:hint="eastAsia"/>
                <w:color w:val="auto"/>
                <w:highlight w:val="none"/>
                <w:lang w:val="zh-CN" w:eastAsia="zh-CN"/>
              </w:rPr>
              <w:t>根据地表水环境质量现状监测结果，监测期间云台山河监测断面各项水质指标均满足《地表水环境质量标准》（GB</w:t>
            </w:r>
            <w:r>
              <w:rPr>
                <w:rFonts w:hint="eastAsia"/>
                <w:color w:val="auto"/>
                <w:highlight w:val="none"/>
                <w:lang w:val="en-US" w:eastAsia="zh-CN"/>
              </w:rPr>
              <w:t xml:space="preserve"> </w:t>
            </w:r>
            <w:r>
              <w:rPr>
                <w:rFonts w:hint="eastAsia"/>
                <w:color w:val="auto"/>
                <w:highlight w:val="none"/>
                <w:lang w:val="zh-CN" w:eastAsia="zh-CN"/>
              </w:rPr>
              <w:t>3838-2002）Ⅲ类标准。</w:t>
            </w:r>
          </w:p>
          <w:p w14:paraId="5BECA2E0">
            <w:pPr>
              <w:ind w:firstLine="482"/>
              <w:rPr>
                <w:b/>
                <w:bCs/>
                <w:color w:val="auto"/>
                <w:highlight w:val="none"/>
                <w:lang w:val="zh-CN"/>
              </w:rPr>
            </w:pPr>
            <w:r>
              <w:rPr>
                <w:rFonts w:hint="eastAsia"/>
                <w:b/>
                <w:bCs/>
                <w:color w:val="auto"/>
                <w:highlight w:val="none"/>
                <w:lang w:eastAsia="zh-CN"/>
              </w:rPr>
              <w:t>3.</w:t>
            </w:r>
            <w:r>
              <w:rPr>
                <w:b/>
                <w:bCs/>
                <w:color w:val="auto"/>
                <w:highlight w:val="none"/>
                <w:lang w:val="zh-CN"/>
              </w:rPr>
              <w:t>声环境质量现状</w:t>
            </w:r>
          </w:p>
          <w:p w14:paraId="795C4DFB">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Autospacing="0" w:afterAutospacing="0" w:line="440" w:lineRule="exact"/>
              <w:ind w:left="0" w:right="0" w:firstLine="480" w:firstLineChars="200"/>
              <w:textAlignment w:val="auto"/>
              <w:rPr>
                <w:rFonts w:hint="eastAsia"/>
                <w:color w:val="auto"/>
                <w:highlight w:val="none"/>
                <w:lang w:val="zh-CN" w:eastAsia="zh-CN"/>
              </w:rPr>
            </w:pPr>
            <w:r>
              <w:rPr>
                <w:rFonts w:hint="eastAsia"/>
                <w:color w:val="auto"/>
                <w:highlight w:val="none"/>
                <w:lang w:val="zh-CN"/>
              </w:rPr>
              <w:t>根据</w:t>
            </w:r>
            <w:r>
              <w:rPr>
                <w:rFonts w:hint="default"/>
                <w:color w:val="auto"/>
                <w:highlight w:val="none"/>
              </w:rPr>
              <w:t>《</w:t>
            </w:r>
            <w:r>
              <w:rPr>
                <w:rFonts w:hint="eastAsia"/>
                <w:color w:val="auto"/>
                <w:highlight w:val="none"/>
                <w:lang w:eastAsia="zh-CN"/>
              </w:rPr>
              <w:t>202</w:t>
            </w:r>
            <w:r>
              <w:rPr>
                <w:rFonts w:hint="eastAsia"/>
                <w:color w:val="auto"/>
                <w:highlight w:val="none"/>
                <w:lang w:val="en-US" w:eastAsia="zh-CN"/>
              </w:rPr>
              <w:t>5</w:t>
            </w:r>
            <w:r>
              <w:rPr>
                <w:rFonts w:hint="eastAsia"/>
                <w:color w:val="auto"/>
                <w:highlight w:val="none"/>
                <w:lang w:eastAsia="zh-CN"/>
              </w:rPr>
              <w:t>年南京市生态环境状况公报</w:t>
            </w:r>
            <w:r>
              <w:rPr>
                <w:rFonts w:hint="default"/>
                <w:color w:val="auto"/>
                <w:highlight w:val="none"/>
              </w:rPr>
              <w:t>》</w:t>
            </w:r>
            <w:r>
              <w:rPr>
                <w:rFonts w:hint="eastAsia"/>
                <w:color w:val="auto"/>
                <w:highlight w:val="none"/>
                <w:lang w:val="zh-CN"/>
              </w:rPr>
              <w:t>，</w:t>
            </w:r>
            <w:r>
              <w:rPr>
                <w:rFonts w:hint="eastAsia"/>
                <w:color w:val="auto"/>
                <w:highlight w:val="none"/>
                <w:lang w:val="zh-CN" w:eastAsia="zh-CN"/>
              </w:rPr>
              <w:t>全市监测区域声环境点53</w:t>
            </w:r>
            <w:r>
              <w:rPr>
                <w:rFonts w:hint="eastAsia"/>
                <w:color w:val="auto"/>
                <w:highlight w:val="none"/>
                <w:lang w:val="en-US" w:eastAsia="zh-CN"/>
              </w:rPr>
              <w:t>4</w:t>
            </w:r>
            <w:r>
              <w:rPr>
                <w:rFonts w:hint="eastAsia"/>
                <w:color w:val="auto"/>
                <w:highlight w:val="none"/>
                <w:lang w:val="zh-CN" w:eastAsia="zh-CN"/>
              </w:rPr>
              <w:t>个。城区区域声环境均值55</w:t>
            </w:r>
            <w:r>
              <w:rPr>
                <w:rFonts w:hint="eastAsia"/>
                <w:color w:val="auto"/>
                <w:highlight w:val="none"/>
                <w:lang w:val="en-US" w:eastAsia="zh-CN"/>
              </w:rPr>
              <w:t>.0</w:t>
            </w:r>
            <w:r>
              <w:rPr>
                <w:rFonts w:hint="eastAsia"/>
                <w:color w:val="auto"/>
                <w:highlight w:val="none"/>
                <w:lang w:val="zh-CN" w:eastAsia="zh-CN"/>
              </w:rPr>
              <w:t>dB，同比</w:t>
            </w:r>
            <w:r>
              <w:rPr>
                <w:rFonts w:hint="eastAsia"/>
                <w:color w:val="auto"/>
                <w:highlight w:val="none"/>
                <w:lang w:val="en-US" w:eastAsia="zh-CN"/>
              </w:rPr>
              <w:t>下降0.1</w:t>
            </w:r>
            <w:r>
              <w:rPr>
                <w:rFonts w:hint="eastAsia"/>
                <w:color w:val="auto"/>
                <w:highlight w:val="none"/>
                <w:lang w:val="zh-CN" w:eastAsia="zh-CN"/>
              </w:rPr>
              <w:t>dB；郊区区域噪声环境均值52.</w:t>
            </w:r>
            <w:r>
              <w:rPr>
                <w:rFonts w:hint="eastAsia"/>
                <w:color w:val="auto"/>
                <w:highlight w:val="none"/>
                <w:lang w:val="en-US" w:eastAsia="zh-CN"/>
              </w:rPr>
              <w:t>7</w:t>
            </w:r>
            <w:r>
              <w:rPr>
                <w:rFonts w:hint="eastAsia"/>
                <w:color w:val="auto"/>
                <w:highlight w:val="none"/>
                <w:lang w:val="zh-CN" w:eastAsia="zh-CN"/>
              </w:rPr>
              <w:t>dB，同比</w:t>
            </w:r>
            <w:r>
              <w:rPr>
                <w:rFonts w:hint="eastAsia"/>
                <w:color w:val="auto"/>
                <w:highlight w:val="none"/>
                <w:lang w:val="en-US" w:eastAsia="zh-CN"/>
              </w:rPr>
              <w:t>上升0.4</w:t>
            </w:r>
            <w:r>
              <w:rPr>
                <w:rFonts w:hint="eastAsia"/>
                <w:color w:val="auto"/>
                <w:highlight w:val="none"/>
                <w:lang w:val="zh-CN" w:eastAsia="zh-CN"/>
              </w:rPr>
              <w:t>dB。</w:t>
            </w:r>
          </w:p>
          <w:p w14:paraId="0F570A3D">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Autospacing="0" w:afterAutospacing="0" w:line="440" w:lineRule="exact"/>
              <w:ind w:left="0" w:right="0" w:firstLine="480" w:firstLineChars="200"/>
              <w:textAlignment w:val="auto"/>
              <w:rPr>
                <w:rFonts w:hint="eastAsia"/>
                <w:color w:val="auto"/>
                <w:highlight w:val="none"/>
                <w:lang w:val="zh-CN" w:eastAsia="zh-CN"/>
              </w:rPr>
            </w:pPr>
            <w:r>
              <w:rPr>
                <w:rFonts w:hint="eastAsia"/>
                <w:color w:val="auto"/>
                <w:highlight w:val="none"/>
                <w:lang w:val="zh-CN" w:eastAsia="zh-CN"/>
              </w:rPr>
              <w:t>全市监测道路交通声环境点247个。城区道路交通声环境均值为6</w:t>
            </w:r>
            <w:r>
              <w:rPr>
                <w:rFonts w:hint="eastAsia"/>
                <w:color w:val="auto"/>
                <w:highlight w:val="none"/>
                <w:lang w:val="en-US" w:eastAsia="zh-CN"/>
              </w:rPr>
              <w:t>6.8</w:t>
            </w:r>
            <w:r>
              <w:rPr>
                <w:rFonts w:hint="eastAsia"/>
                <w:color w:val="auto"/>
                <w:highlight w:val="none"/>
                <w:lang w:val="zh-CN" w:eastAsia="zh-CN"/>
              </w:rPr>
              <w:t>dB，同比下降0.</w:t>
            </w:r>
            <w:r>
              <w:rPr>
                <w:rFonts w:hint="eastAsia"/>
                <w:color w:val="auto"/>
                <w:highlight w:val="none"/>
                <w:lang w:val="en-US" w:eastAsia="zh-CN"/>
              </w:rPr>
              <w:t>3</w:t>
            </w:r>
            <w:r>
              <w:rPr>
                <w:rFonts w:hint="eastAsia"/>
                <w:color w:val="auto"/>
                <w:highlight w:val="none"/>
                <w:lang w:val="zh-CN" w:eastAsia="zh-CN"/>
              </w:rPr>
              <w:t>dB；郊区道路交通声环境均值6</w:t>
            </w:r>
            <w:r>
              <w:rPr>
                <w:rFonts w:hint="eastAsia"/>
                <w:color w:val="auto"/>
                <w:highlight w:val="none"/>
                <w:lang w:val="en-US" w:eastAsia="zh-CN"/>
              </w:rPr>
              <w:t>4.8</w:t>
            </w:r>
            <w:r>
              <w:rPr>
                <w:rFonts w:hint="eastAsia"/>
                <w:color w:val="auto"/>
                <w:highlight w:val="none"/>
                <w:lang w:val="zh-CN" w:eastAsia="zh-CN"/>
              </w:rPr>
              <w:t>dB，同比下降0.</w:t>
            </w:r>
            <w:r>
              <w:rPr>
                <w:rFonts w:hint="eastAsia"/>
                <w:color w:val="auto"/>
                <w:highlight w:val="none"/>
                <w:lang w:val="en-US" w:eastAsia="zh-CN"/>
              </w:rPr>
              <w:t>9</w:t>
            </w:r>
            <w:r>
              <w:rPr>
                <w:rFonts w:hint="eastAsia"/>
                <w:color w:val="auto"/>
                <w:highlight w:val="none"/>
                <w:lang w:val="zh-CN" w:eastAsia="zh-CN"/>
              </w:rPr>
              <w:t>dB。</w:t>
            </w:r>
          </w:p>
          <w:p w14:paraId="369AE097">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Autospacing="0" w:afterAutospacing="0" w:line="440" w:lineRule="exact"/>
              <w:ind w:left="0" w:right="0" w:firstLine="480" w:firstLineChars="200"/>
              <w:textAlignment w:val="auto"/>
              <w:rPr>
                <w:rFonts w:hint="eastAsia"/>
                <w:color w:val="auto"/>
                <w:highlight w:val="none"/>
                <w:lang w:val="zh-CN" w:eastAsia="zh-CN"/>
              </w:rPr>
            </w:pPr>
            <w:r>
              <w:rPr>
                <w:rFonts w:hint="eastAsia"/>
                <w:color w:val="auto"/>
                <w:highlight w:val="none"/>
                <w:lang w:val="zh-CN" w:eastAsia="zh-CN"/>
              </w:rPr>
              <w:t>全市功能区声环境监测点20个，昼间达标率为9</w:t>
            </w:r>
            <w:r>
              <w:rPr>
                <w:rFonts w:hint="eastAsia"/>
                <w:color w:val="auto"/>
                <w:highlight w:val="none"/>
                <w:lang w:val="en-US" w:eastAsia="zh-CN"/>
              </w:rPr>
              <w:t>6.9</w:t>
            </w:r>
            <w:r>
              <w:rPr>
                <w:rFonts w:hint="eastAsia"/>
                <w:color w:val="auto"/>
                <w:highlight w:val="none"/>
                <w:lang w:val="zh-CN" w:eastAsia="zh-CN"/>
              </w:rPr>
              <w:t>%，夜间达标率为</w:t>
            </w:r>
            <w:r>
              <w:rPr>
                <w:rFonts w:hint="eastAsia"/>
                <w:color w:val="auto"/>
                <w:highlight w:val="none"/>
                <w:lang w:val="en-US" w:eastAsia="zh-CN"/>
              </w:rPr>
              <w:t>90.9</w:t>
            </w:r>
            <w:r>
              <w:rPr>
                <w:rFonts w:hint="eastAsia"/>
                <w:color w:val="auto"/>
                <w:highlight w:val="none"/>
                <w:lang w:val="zh-CN" w:eastAsia="zh-CN"/>
              </w:rPr>
              <w:t>%。</w:t>
            </w:r>
          </w:p>
          <w:p w14:paraId="50BDF8A9">
            <w:pPr>
              <w:ind w:firstLine="480"/>
              <w:rPr>
                <w:color w:val="auto"/>
                <w:highlight w:val="none"/>
              </w:rPr>
            </w:pPr>
            <w:r>
              <w:rPr>
                <w:rFonts w:hint="eastAsia"/>
                <w:color w:val="auto"/>
                <w:highlight w:val="none"/>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rPr>
              <w:t>，</w:t>
            </w:r>
            <w:r>
              <w:rPr>
                <w:color w:val="auto"/>
                <w:highlight w:val="none"/>
                <w:lang w:val="zh-CN"/>
              </w:rPr>
              <w:t>根据《建设项目环境影响报告表</w:t>
            </w:r>
            <w:r>
              <w:rPr>
                <w:color w:val="auto"/>
                <w:highlight w:val="none"/>
              </w:rPr>
              <w:t>编制</w:t>
            </w:r>
            <w:r>
              <w:rPr>
                <w:color w:val="auto"/>
                <w:highlight w:val="none"/>
                <w:lang w:val="zh-CN"/>
              </w:rPr>
              <w:t>技术指南（污染影响类）（试行）》，</w:t>
            </w:r>
            <w:r>
              <w:rPr>
                <w:color w:val="auto"/>
                <w:highlight w:val="none"/>
              </w:rPr>
              <w:t>声环境厂界外周边50米范围内存在声环境保护目标的建设项目，应监测保护目标声环境质量现状并评价达标情况</w:t>
            </w:r>
            <w:r>
              <w:rPr>
                <w:rFonts w:hint="eastAsia"/>
                <w:color w:val="auto"/>
                <w:highlight w:val="none"/>
              </w:rPr>
              <w:t>。</w:t>
            </w:r>
            <w:r>
              <w:rPr>
                <w:color w:val="auto"/>
                <w:highlight w:val="none"/>
              </w:rPr>
              <w:t>本项目厂界周边50</w:t>
            </w:r>
            <w:r>
              <w:rPr>
                <w:color w:val="auto"/>
                <w:highlight w:val="none"/>
                <w:lang w:val="zh-CN"/>
              </w:rPr>
              <w:t>m</w:t>
            </w:r>
            <w:r>
              <w:rPr>
                <w:rFonts w:hint="eastAsia"/>
                <w:color w:val="auto"/>
                <w:highlight w:val="none"/>
              </w:rPr>
              <w:t>内</w:t>
            </w:r>
            <w:r>
              <w:rPr>
                <w:rFonts w:hint="eastAsia"/>
                <w:color w:val="auto"/>
                <w:highlight w:val="none"/>
                <w:lang w:val="en-US" w:eastAsia="zh-CN"/>
              </w:rPr>
              <w:t>均</w:t>
            </w:r>
            <w:r>
              <w:rPr>
                <w:color w:val="auto"/>
                <w:highlight w:val="none"/>
              </w:rPr>
              <w:t>无声环境保护目标，因此</w:t>
            </w:r>
            <w:r>
              <w:rPr>
                <w:rFonts w:hint="eastAsia"/>
                <w:color w:val="auto"/>
                <w:highlight w:val="none"/>
                <w:lang w:eastAsia="zh-CN"/>
              </w:rPr>
              <w:t>无须</w:t>
            </w:r>
            <w:r>
              <w:rPr>
                <w:color w:val="auto"/>
                <w:highlight w:val="none"/>
                <w:lang w:val="zh-CN"/>
              </w:rPr>
              <w:t>进行噪声监测</w:t>
            </w:r>
            <w:r>
              <w:rPr>
                <w:color w:val="auto"/>
                <w:highlight w:val="none"/>
              </w:rPr>
              <w:t>。</w:t>
            </w:r>
          </w:p>
          <w:p w14:paraId="22F94BD4">
            <w:pPr>
              <w:ind w:firstLine="482"/>
              <w:rPr>
                <w:b/>
                <w:bCs/>
                <w:color w:val="auto"/>
                <w:highlight w:val="none"/>
              </w:rPr>
            </w:pPr>
            <w:r>
              <w:rPr>
                <w:rFonts w:hint="eastAsia"/>
                <w:b/>
                <w:bCs/>
                <w:color w:val="auto"/>
                <w:highlight w:val="none"/>
                <w:lang w:eastAsia="zh-CN"/>
              </w:rPr>
              <w:t>4.</w:t>
            </w:r>
            <w:r>
              <w:rPr>
                <w:b/>
                <w:bCs/>
                <w:color w:val="auto"/>
                <w:highlight w:val="none"/>
              </w:rPr>
              <w:t>生态环境</w:t>
            </w:r>
          </w:p>
          <w:p w14:paraId="50DED516">
            <w:pPr>
              <w:ind w:firstLine="480"/>
              <w:rPr>
                <w:color w:val="auto"/>
                <w:highlight w:val="none"/>
              </w:rPr>
            </w:pPr>
            <w:r>
              <w:rPr>
                <w:color w:val="auto"/>
                <w:highlight w:val="none"/>
              </w:rPr>
              <w:t>本项目利用现有厂房进行建设，不新增用地，且用地范围内不涉及生态环境目标，</w:t>
            </w:r>
            <w:r>
              <w:rPr>
                <w:rFonts w:hint="eastAsia"/>
                <w:color w:val="auto"/>
                <w:highlight w:val="none"/>
                <w:lang w:eastAsia="zh-CN"/>
              </w:rPr>
              <w:t>无需</w:t>
            </w:r>
            <w:r>
              <w:rPr>
                <w:color w:val="auto"/>
                <w:highlight w:val="none"/>
              </w:rPr>
              <w:t>进行生态现状调查。</w:t>
            </w:r>
          </w:p>
          <w:p w14:paraId="0FA19B5D">
            <w:pPr>
              <w:ind w:firstLine="482"/>
              <w:rPr>
                <w:b/>
                <w:bCs/>
                <w:color w:val="auto"/>
                <w:highlight w:val="none"/>
              </w:rPr>
            </w:pPr>
            <w:r>
              <w:rPr>
                <w:rFonts w:hint="eastAsia"/>
                <w:b/>
                <w:bCs/>
                <w:color w:val="auto"/>
                <w:highlight w:val="none"/>
                <w:lang w:eastAsia="zh-CN"/>
              </w:rPr>
              <w:t>5.</w:t>
            </w:r>
            <w:r>
              <w:rPr>
                <w:b/>
                <w:bCs/>
                <w:color w:val="auto"/>
                <w:highlight w:val="none"/>
              </w:rPr>
              <w:t>电磁辐射</w:t>
            </w:r>
          </w:p>
          <w:p w14:paraId="45D2079E">
            <w:pPr>
              <w:ind w:firstLine="480"/>
              <w:rPr>
                <w:color w:val="auto"/>
                <w:highlight w:val="none"/>
              </w:rPr>
            </w:pPr>
            <w:r>
              <w:rPr>
                <w:color w:val="auto"/>
                <w:highlight w:val="none"/>
              </w:rPr>
              <w:t>本项目属于</w:t>
            </w:r>
            <w:r>
              <w:rPr>
                <w:rFonts w:hint="default" w:ascii="Times New Roman" w:hAnsi="Times New Roman" w:eastAsia="宋体" w:cs="Times New Roman"/>
                <w:color w:val="auto"/>
                <w:szCs w:val="22"/>
                <w:highlight w:val="none"/>
                <w:lang w:val="en-US" w:eastAsia="zh-CN"/>
              </w:rPr>
              <w:t>C</w:t>
            </w:r>
            <w:r>
              <w:rPr>
                <w:rFonts w:hint="eastAsia" w:cs="Times New Roman"/>
                <w:color w:val="auto"/>
                <w:szCs w:val="22"/>
                <w:highlight w:val="none"/>
                <w:lang w:val="en-US" w:eastAsia="zh-CN"/>
              </w:rPr>
              <w:t>3969其他智能消费设备制造</w:t>
            </w:r>
            <w:r>
              <w:rPr>
                <w:color w:val="auto"/>
                <w:highlight w:val="none"/>
              </w:rPr>
              <w:t>，不属于广播电台、差转台、电视塔台、卫星地球上行站、雷达等电磁辐射类项目，</w:t>
            </w:r>
            <w:r>
              <w:rPr>
                <w:rFonts w:hint="eastAsia"/>
                <w:color w:val="auto"/>
                <w:highlight w:val="none"/>
                <w:lang w:eastAsia="zh-CN"/>
              </w:rPr>
              <w:t>无需</w:t>
            </w:r>
            <w:sdt>
              <w:sdtPr>
                <w:rPr>
                  <w:color w:val="auto"/>
                </w:rPr>
                <w:alias w:val="语法错误"/>
                <w:tag w:val="reviewtag_0000FF"/>
                <w:id w:val="3102414"/>
              </w:sdtPr>
              <w:sdtEndPr>
                <w:rPr>
                  <w:color w:val="auto"/>
                </w:rPr>
              </w:sdtEndPr>
              <w:sdtContent>
                <w:bookmarkStart w:id="115" w:name="bkReivew3102414"/>
                <w:r>
                  <w:rPr>
                    <w:color w:val="auto"/>
                    <w:highlight w:val="none"/>
                  </w:rPr>
                  <w:t>开展</w:t>
                </w:r>
                <w:bookmarkEnd w:id="115"/>
              </w:sdtContent>
            </w:sdt>
            <w:r>
              <w:rPr>
                <w:color w:val="auto"/>
                <w:highlight w:val="none"/>
              </w:rPr>
              <w:t>电磁辐射现状监测与评价。</w:t>
            </w:r>
          </w:p>
          <w:p w14:paraId="257B0128">
            <w:pPr>
              <w:ind w:firstLine="482"/>
              <w:rPr>
                <w:b/>
                <w:bCs/>
                <w:color w:val="auto"/>
                <w:highlight w:val="none"/>
              </w:rPr>
            </w:pPr>
            <w:r>
              <w:rPr>
                <w:rFonts w:hint="eastAsia"/>
                <w:b/>
                <w:bCs/>
                <w:color w:val="auto"/>
                <w:highlight w:val="none"/>
                <w:lang w:eastAsia="zh-CN"/>
              </w:rPr>
              <w:t>6.</w:t>
            </w:r>
            <w:r>
              <w:rPr>
                <w:b/>
                <w:bCs/>
                <w:color w:val="auto"/>
                <w:highlight w:val="none"/>
              </w:rPr>
              <w:t>地下水</w:t>
            </w:r>
            <w:r>
              <w:rPr>
                <w:rFonts w:hint="eastAsia"/>
                <w:b/>
                <w:bCs/>
                <w:color w:val="auto"/>
                <w:highlight w:val="none"/>
              </w:rPr>
              <w:t>、土壤</w:t>
            </w:r>
            <w:r>
              <w:rPr>
                <w:b/>
                <w:bCs/>
                <w:color w:val="auto"/>
                <w:highlight w:val="none"/>
              </w:rPr>
              <w:t>环境</w:t>
            </w:r>
          </w:p>
          <w:p w14:paraId="7AE81D51">
            <w:pPr>
              <w:ind w:firstLine="480"/>
              <w:rPr>
                <w:color w:val="auto"/>
                <w:highlight w:val="none"/>
              </w:rPr>
            </w:pPr>
            <w:r>
              <w:rPr>
                <w:color w:val="auto"/>
                <w:highlight w:val="none"/>
              </w:rPr>
              <w:t>本项目</w:t>
            </w:r>
            <w:r>
              <w:rPr>
                <w:rFonts w:hint="eastAsia"/>
                <w:color w:val="auto"/>
                <w:highlight w:val="none"/>
              </w:rPr>
              <w:t>采取合理的分区防渗措施，正常状况下无地下水、土壤污染途径，因此不开展地下水、土壤环境现状调查</w:t>
            </w:r>
            <w:r>
              <w:rPr>
                <w:color w:val="auto"/>
                <w:highlight w:val="none"/>
              </w:rPr>
              <w:t>。</w:t>
            </w:r>
          </w:p>
        </w:tc>
      </w:tr>
      <w:tr w14:paraId="18F38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2" w:type="dxa"/>
            <w:vAlign w:val="center"/>
          </w:tcPr>
          <w:p w14:paraId="2C23D0A3">
            <w:pPr>
              <w:adjustRightInd w:val="0"/>
              <w:snapToGrid w:val="0"/>
              <w:spacing w:line="240" w:lineRule="auto"/>
              <w:ind w:firstLine="0" w:firstLineChars="0"/>
              <w:jc w:val="center"/>
              <w:rPr>
                <w:b/>
                <w:bCs/>
                <w:color w:val="auto"/>
                <w:kern w:val="0"/>
                <w:highlight w:val="none"/>
              </w:rPr>
            </w:pPr>
            <w:r>
              <w:rPr>
                <w:b/>
                <w:bCs/>
                <w:color w:val="auto"/>
                <w:kern w:val="0"/>
                <w:highlight w:val="none"/>
              </w:rPr>
              <w:t>环境保护目标</w:t>
            </w:r>
          </w:p>
        </w:tc>
        <w:tc>
          <w:tcPr>
            <w:tcW w:w="8609" w:type="dxa"/>
            <w:vAlign w:val="center"/>
          </w:tcPr>
          <w:p w14:paraId="7507CD3C">
            <w:pPr>
              <w:ind w:firstLine="480"/>
              <w:rPr>
                <w:color w:val="auto"/>
                <w:highlight w:val="none"/>
              </w:rPr>
            </w:pPr>
            <w:r>
              <w:rPr>
                <w:color w:val="auto"/>
                <w:highlight w:val="none"/>
              </w:rPr>
              <w:t>根据</w:t>
            </w:r>
            <w:r>
              <w:rPr>
                <w:rFonts w:hint="eastAsia"/>
                <w:color w:val="auto"/>
                <w:highlight w:val="none"/>
              </w:rPr>
              <w:t>现场勘查</w:t>
            </w:r>
            <w:r>
              <w:rPr>
                <w:color w:val="auto"/>
                <w:highlight w:val="none"/>
              </w:rPr>
              <w:t>，建设项目周围主要环境保护目标</w:t>
            </w:r>
            <w:r>
              <w:rPr>
                <w:rFonts w:hint="eastAsia"/>
                <w:color w:val="auto"/>
                <w:highlight w:val="none"/>
              </w:rPr>
              <w:t>情况</w:t>
            </w:r>
            <w:r>
              <w:rPr>
                <w:color w:val="auto"/>
                <w:highlight w:val="none"/>
              </w:rPr>
              <w:t>具体</w:t>
            </w:r>
            <w:r>
              <w:rPr>
                <w:rFonts w:hint="eastAsia"/>
                <w:color w:val="auto"/>
                <w:highlight w:val="none"/>
              </w:rPr>
              <w:t>如下</w:t>
            </w:r>
            <w:r>
              <w:rPr>
                <w:color w:val="auto"/>
                <w:highlight w:val="none"/>
              </w:rPr>
              <w:t>。</w:t>
            </w:r>
          </w:p>
          <w:p w14:paraId="475976B3">
            <w:pPr>
              <w:ind w:firstLine="482"/>
              <w:rPr>
                <w:b/>
                <w:bCs/>
                <w:color w:val="auto"/>
                <w:highlight w:val="none"/>
              </w:rPr>
            </w:pPr>
            <w:r>
              <w:rPr>
                <w:rFonts w:hint="eastAsia"/>
                <w:b/>
                <w:bCs/>
                <w:color w:val="auto"/>
                <w:highlight w:val="none"/>
                <w:lang w:eastAsia="zh-CN"/>
              </w:rPr>
              <w:t>1.</w:t>
            </w:r>
            <w:r>
              <w:rPr>
                <w:rFonts w:hint="eastAsia"/>
                <w:b/>
                <w:bCs/>
                <w:color w:val="auto"/>
                <w:highlight w:val="none"/>
              </w:rPr>
              <w:t>大气环境保护目标情况</w:t>
            </w:r>
          </w:p>
          <w:p w14:paraId="4E2B8D43">
            <w:pPr>
              <w:ind w:firstLine="480"/>
              <w:rPr>
                <w:rFonts w:hint="eastAsia"/>
                <w:color w:val="auto"/>
                <w:highlight w:val="none"/>
                <w:lang w:val="en-US" w:eastAsia="zh-CN"/>
              </w:rPr>
            </w:pPr>
            <w:r>
              <w:rPr>
                <w:color w:val="auto"/>
                <w:highlight w:val="none"/>
              </w:rPr>
              <w:t>根据现场踏勘</w:t>
            </w:r>
            <w:r>
              <w:rPr>
                <w:rFonts w:hint="eastAsia"/>
                <w:color w:val="auto"/>
                <w:highlight w:val="none"/>
              </w:rPr>
              <w:t>情况</w:t>
            </w:r>
            <w:r>
              <w:rPr>
                <w:color w:val="auto"/>
                <w:highlight w:val="none"/>
              </w:rPr>
              <w:t>，本项目</w:t>
            </w:r>
            <w:r>
              <w:rPr>
                <w:rFonts w:hint="eastAsia"/>
                <w:color w:val="auto"/>
                <w:highlight w:val="none"/>
                <w:lang w:val="en-US" w:eastAsia="zh-CN"/>
              </w:rPr>
              <w:t>厂界</w:t>
            </w:r>
            <w:r>
              <w:rPr>
                <w:color w:val="auto"/>
                <w:highlight w:val="none"/>
              </w:rPr>
              <w:t>周边500m范围内大气环境保护目标</w:t>
            </w:r>
            <w:r>
              <w:rPr>
                <w:rFonts w:hint="eastAsia"/>
                <w:color w:val="auto"/>
                <w:highlight w:val="none"/>
                <w:lang w:val="en-US" w:eastAsia="zh-CN"/>
              </w:rPr>
              <w:t>见下表。</w:t>
            </w:r>
          </w:p>
          <w:p w14:paraId="556702C7">
            <w:pPr>
              <w:pStyle w:val="51"/>
              <w:bidi w:val="0"/>
              <w:rPr>
                <w:color w:val="auto"/>
                <w:sz w:val="24"/>
                <w:szCs w:val="24"/>
                <w:highlight w:val="none"/>
              </w:rPr>
            </w:pPr>
            <w:r>
              <w:rPr>
                <w:rFonts w:hint="eastAsia"/>
                <w:color w:val="auto"/>
                <w:sz w:val="24"/>
                <w:szCs w:val="24"/>
                <w:highlight w:val="none"/>
              </w:rPr>
              <w:t>大气环境保护目标一览表</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230"/>
              <w:gridCol w:w="1229"/>
              <w:gridCol w:w="714"/>
              <w:gridCol w:w="758"/>
              <w:gridCol w:w="1164"/>
              <w:gridCol w:w="930"/>
              <w:gridCol w:w="1226"/>
            </w:tblGrid>
            <w:tr w14:paraId="3397F1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78" w:type="pct"/>
                  <w:vMerge w:val="restart"/>
                  <w:shd w:val="clear" w:color="auto" w:fill="auto"/>
                  <w:vAlign w:val="center"/>
                </w:tcPr>
                <w:p w14:paraId="227EDCF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1465" w:type="pct"/>
                  <w:gridSpan w:val="2"/>
                  <w:shd w:val="clear" w:color="auto" w:fill="auto"/>
                  <w:vAlign w:val="center"/>
                </w:tcPr>
                <w:p w14:paraId="07987E0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UTM坐标</w:t>
                  </w:r>
                </w:p>
              </w:tc>
              <w:tc>
                <w:tcPr>
                  <w:tcW w:w="425" w:type="pct"/>
                  <w:vMerge w:val="restart"/>
                  <w:shd w:val="clear" w:color="auto" w:fill="auto"/>
                  <w:vAlign w:val="center"/>
                </w:tcPr>
                <w:p w14:paraId="57A52153">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保护对象</w:t>
                  </w:r>
                </w:p>
              </w:tc>
              <w:tc>
                <w:tcPr>
                  <w:tcW w:w="451" w:type="pct"/>
                  <w:vMerge w:val="restart"/>
                  <w:shd w:val="clear" w:color="auto" w:fill="auto"/>
                  <w:vAlign w:val="center"/>
                </w:tcPr>
                <w:p w14:paraId="2BEC97B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保护内容</w:t>
                  </w:r>
                </w:p>
              </w:tc>
              <w:tc>
                <w:tcPr>
                  <w:tcW w:w="693" w:type="pct"/>
                  <w:vMerge w:val="restart"/>
                  <w:shd w:val="clear" w:color="auto" w:fill="auto"/>
                  <w:vAlign w:val="center"/>
                </w:tcPr>
                <w:p w14:paraId="0206813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环境功能区</w:t>
                  </w:r>
                </w:p>
              </w:tc>
              <w:tc>
                <w:tcPr>
                  <w:tcW w:w="554" w:type="pct"/>
                  <w:vMerge w:val="restart"/>
                  <w:shd w:val="clear" w:color="auto" w:fill="auto"/>
                  <w:vAlign w:val="center"/>
                </w:tcPr>
                <w:p w14:paraId="342C972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相对厂址方位</w:t>
                  </w:r>
                </w:p>
              </w:tc>
              <w:tc>
                <w:tcPr>
                  <w:tcW w:w="730" w:type="pct"/>
                  <w:vMerge w:val="restart"/>
                  <w:shd w:val="clear" w:color="auto" w:fill="auto"/>
                  <w:vAlign w:val="center"/>
                </w:tcPr>
                <w:p w14:paraId="615BC7A0">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相对</w:t>
                  </w:r>
                  <w:r>
                    <w:rPr>
                      <w:rFonts w:hint="default" w:ascii="Times New Roman" w:hAnsi="Times New Roman" w:eastAsia="宋体" w:cs="Times New Roman"/>
                      <w:b/>
                      <w:bCs/>
                      <w:color w:val="auto"/>
                      <w:sz w:val="21"/>
                      <w:szCs w:val="21"/>
                      <w:highlight w:val="none"/>
                      <w:lang w:val="en-US" w:eastAsia="zh-CN"/>
                    </w:rPr>
                    <w:t>厂界</w:t>
                  </w:r>
                  <w:r>
                    <w:rPr>
                      <w:rFonts w:hint="default" w:ascii="Times New Roman" w:hAnsi="Times New Roman" w:eastAsia="宋体" w:cs="Times New Roman"/>
                      <w:b/>
                      <w:bCs/>
                      <w:color w:val="auto"/>
                      <w:sz w:val="21"/>
                      <w:szCs w:val="21"/>
                      <w:highlight w:val="none"/>
                    </w:rPr>
                    <w:t>距离/m</w:t>
                  </w:r>
                </w:p>
              </w:tc>
            </w:tr>
            <w:tr w14:paraId="223DB9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678" w:type="pct"/>
                  <w:vMerge w:val="continue"/>
                  <w:shd w:val="clear" w:color="auto" w:fill="auto"/>
                  <w:vAlign w:val="center"/>
                </w:tcPr>
                <w:p w14:paraId="4EB04F4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733" w:type="pct"/>
                  <w:shd w:val="clear" w:color="auto" w:fill="auto"/>
                  <w:vAlign w:val="center"/>
                </w:tcPr>
                <w:p w14:paraId="32C3F43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val="en-US" w:eastAsia="zh-CN"/>
                    </w:rPr>
                    <w:t>X</w:t>
                  </w:r>
                </w:p>
              </w:tc>
              <w:tc>
                <w:tcPr>
                  <w:tcW w:w="732" w:type="pct"/>
                  <w:shd w:val="clear" w:color="auto" w:fill="auto"/>
                  <w:vAlign w:val="center"/>
                </w:tcPr>
                <w:p w14:paraId="258C4F9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val="en-US" w:eastAsia="zh-CN"/>
                    </w:rPr>
                    <w:t>Y</w:t>
                  </w:r>
                </w:p>
              </w:tc>
              <w:tc>
                <w:tcPr>
                  <w:tcW w:w="425" w:type="pct"/>
                  <w:vMerge w:val="continue"/>
                  <w:shd w:val="clear" w:color="auto" w:fill="auto"/>
                  <w:vAlign w:val="center"/>
                </w:tcPr>
                <w:p w14:paraId="13E852E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451" w:type="pct"/>
                  <w:vMerge w:val="continue"/>
                  <w:shd w:val="clear" w:color="auto" w:fill="auto"/>
                  <w:vAlign w:val="center"/>
                </w:tcPr>
                <w:p w14:paraId="2813131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693" w:type="pct"/>
                  <w:vMerge w:val="continue"/>
                  <w:shd w:val="clear" w:color="auto" w:fill="auto"/>
                  <w:vAlign w:val="center"/>
                </w:tcPr>
                <w:p w14:paraId="76262D9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554" w:type="pct"/>
                  <w:vMerge w:val="continue"/>
                  <w:shd w:val="clear" w:color="auto" w:fill="auto"/>
                  <w:vAlign w:val="center"/>
                </w:tcPr>
                <w:p w14:paraId="4F32EE8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730" w:type="pct"/>
                  <w:vMerge w:val="continue"/>
                  <w:shd w:val="clear" w:color="auto" w:fill="auto"/>
                  <w:vAlign w:val="center"/>
                </w:tcPr>
                <w:p w14:paraId="787FF04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r>
            <w:tr w14:paraId="3CFBA8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8" w:type="pct"/>
                  <w:shd w:val="clear" w:color="auto" w:fill="auto"/>
                  <w:vAlign w:val="center"/>
                </w:tcPr>
                <w:p w14:paraId="0252905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桃红小区</w:t>
                  </w:r>
                </w:p>
              </w:tc>
              <w:tc>
                <w:tcPr>
                  <w:tcW w:w="733" w:type="pct"/>
                  <w:shd w:val="clear" w:color="auto" w:fill="auto"/>
                  <w:vAlign w:val="center"/>
                </w:tcPr>
                <w:p w14:paraId="7E29F043">
                  <w:pPr>
                    <w:keepNext w:val="0"/>
                    <w:keepLines w:val="0"/>
                    <w:pageBreakBefore w:val="0"/>
                    <w:widowControl/>
                    <w:suppressLineNumbers w:val="0"/>
                    <w:kinsoku/>
                    <w:wordWrap/>
                    <w:overflowPunct/>
                    <w:topLinePunct w:val="0"/>
                    <w:autoSpaceDE/>
                    <w:autoSpaceDN/>
                    <w:bidi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668264.99</w:t>
                  </w:r>
                </w:p>
              </w:tc>
              <w:tc>
                <w:tcPr>
                  <w:tcW w:w="732" w:type="pct"/>
                  <w:shd w:val="clear" w:color="auto" w:fill="auto"/>
                  <w:vAlign w:val="center"/>
                </w:tcPr>
                <w:p w14:paraId="1AC3255E">
                  <w:pPr>
                    <w:keepNext w:val="0"/>
                    <w:keepLines w:val="0"/>
                    <w:pageBreakBefore w:val="0"/>
                    <w:widowControl/>
                    <w:suppressLineNumbers w:val="0"/>
                    <w:kinsoku/>
                    <w:wordWrap/>
                    <w:overflowPunct/>
                    <w:topLinePunct w:val="0"/>
                    <w:autoSpaceDE/>
                    <w:autoSpaceDN/>
                    <w:bidi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3516324.72</w:t>
                  </w:r>
                </w:p>
              </w:tc>
              <w:tc>
                <w:tcPr>
                  <w:tcW w:w="425" w:type="pct"/>
                  <w:shd w:val="clear" w:color="auto" w:fill="auto"/>
                  <w:vAlign w:val="center"/>
                </w:tcPr>
                <w:p w14:paraId="3DD1E697">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居民</w:t>
                  </w:r>
                </w:p>
              </w:tc>
              <w:tc>
                <w:tcPr>
                  <w:tcW w:w="451" w:type="pct"/>
                  <w:vMerge w:val="restart"/>
                  <w:shd w:val="clear" w:color="auto" w:fill="auto"/>
                  <w:vAlign w:val="center"/>
                </w:tcPr>
                <w:p w14:paraId="7DF6A182">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人群健康</w:t>
                  </w:r>
                </w:p>
              </w:tc>
              <w:tc>
                <w:tcPr>
                  <w:tcW w:w="693" w:type="pct"/>
                  <w:vMerge w:val="restart"/>
                  <w:shd w:val="clear" w:color="auto" w:fill="auto"/>
                  <w:vAlign w:val="center"/>
                </w:tcPr>
                <w:p w14:paraId="17418BA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《环境空气质量标准》（GB3095-20</w:t>
                  </w:r>
                  <w:r>
                    <w:rPr>
                      <w:rFonts w:hint="eastAsia" w:cs="Times New Roman"/>
                      <w:color w:val="auto"/>
                      <w:sz w:val="21"/>
                      <w:szCs w:val="21"/>
                      <w:highlight w:val="none"/>
                      <w:lang w:val="en-US" w:eastAsia="zh-CN"/>
                    </w:rPr>
                    <w:t>26</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二</w:t>
                  </w:r>
                  <w:r>
                    <w:rPr>
                      <w:rFonts w:hint="default" w:ascii="Times New Roman" w:hAnsi="Times New Roman" w:eastAsia="宋体" w:cs="Times New Roman"/>
                      <w:color w:val="auto"/>
                      <w:sz w:val="21"/>
                      <w:szCs w:val="21"/>
                      <w:highlight w:val="none"/>
                    </w:rPr>
                    <w:t>类区</w:t>
                  </w:r>
                </w:p>
              </w:tc>
              <w:tc>
                <w:tcPr>
                  <w:tcW w:w="554" w:type="pct"/>
                  <w:shd w:val="clear" w:color="auto" w:fill="auto"/>
                  <w:vAlign w:val="center"/>
                </w:tcPr>
                <w:p w14:paraId="5B8CA422">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w:t>
                  </w:r>
                </w:p>
              </w:tc>
              <w:tc>
                <w:tcPr>
                  <w:tcW w:w="730" w:type="pct"/>
                  <w:shd w:val="clear" w:color="auto" w:fill="auto"/>
                  <w:vAlign w:val="center"/>
                </w:tcPr>
                <w:p w14:paraId="2645E9D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450</w:t>
                  </w:r>
                </w:p>
              </w:tc>
            </w:tr>
            <w:tr w14:paraId="5702DB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78" w:type="pct"/>
                  <w:shd w:val="clear" w:color="auto" w:fill="auto"/>
                  <w:vAlign w:val="center"/>
                </w:tcPr>
                <w:p w14:paraId="4F11677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南京理工大学继续教育学院（横溪校区）</w:t>
                  </w:r>
                </w:p>
              </w:tc>
              <w:tc>
                <w:tcPr>
                  <w:tcW w:w="733" w:type="pct"/>
                  <w:shd w:val="clear" w:color="auto" w:fill="auto"/>
                  <w:vAlign w:val="center"/>
                </w:tcPr>
                <w:p w14:paraId="38C16D58">
                  <w:pPr>
                    <w:keepNext w:val="0"/>
                    <w:keepLines w:val="0"/>
                    <w:pageBreakBefore w:val="0"/>
                    <w:widowControl/>
                    <w:suppressLineNumbers w:val="0"/>
                    <w:kinsoku/>
                    <w:wordWrap/>
                    <w:overflowPunct/>
                    <w:topLinePunct w:val="0"/>
                    <w:autoSpaceDE/>
                    <w:autoSpaceDN/>
                    <w:bidi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668417.44</w:t>
                  </w:r>
                </w:p>
              </w:tc>
              <w:tc>
                <w:tcPr>
                  <w:tcW w:w="732" w:type="pct"/>
                  <w:shd w:val="clear" w:color="auto" w:fill="auto"/>
                  <w:vAlign w:val="center"/>
                </w:tcPr>
                <w:p w14:paraId="24651C47">
                  <w:pPr>
                    <w:keepNext w:val="0"/>
                    <w:keepLines w:val="0"/>
                    <w:pageBreakBefore w:val="0"/>
                    <w:widowControl/>
                    <w:suppressLineNumbers w:val="0"/>
                    <w:kinsoku/>
                    <w:wordWrap/>
                    <w:overflowPunct/>
                    <w:topLinePunct w:val="0"/>
                    <w:autoSpaceDE/>
                    <w:autoSpaceDN/>
                    <w:bidi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3516760.28</w:t>
                  </w:r>
                </w:p>
              </w:tc>
              <w:tc>
                <w:tcPr>
                  <w:tcW w:w="425" w:type="pct"/>
                  <w:shd w:val="clear" w:color="auto" w:fill="auto"/>
                  <w:vAlign w:val="center"/>
                </w:tcPr>
                <w:p w14:paraId="188431D0">
                  <w:pPr>
                    <w:keepNext w:val="0"/>
                    <w:keepLines w:val="0"/>
                    <w:pageBreakBefore w:val="0"/>
                    <w:widowControl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师生</w:t>
                  </w:r>
                </w:p>
              </w:tc>
              <w:tc>
                <w:tcPr>
                  <w:tcW w:w="451" w:type="pct"/>
                  <w:vMerge w:val="continue"/>
                  <w:shd w:val="clear" w:color="auto" w:fill="auto"/>
                  <w:vAlign w:val="center"/>
                </w:tcPr>
                <w:p w14:paraId="2733D97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93" w:type="pct"/>
                  <w:vMerge w:val="continue"/>
                  <w:shd w:val="clear" w:color="auto" w:fill="auto"/>
                  <w:vAlign w:val="center"/>
                </w:tcPr>
                <w:p w14:paraId="6C6F974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rPr>
                  </w:pPr>
                </w:p>
              </w:tc>
              <w:tc>
                <w:tcPr>
                  <w:tcW w:w="554" w:type="pct"/>
                  <w:shd w:val="clear" w:color="auto" w:fill="auto"/>
                  <w:vAlign w:val="center"/>
                </w:tcPr>
                <w:p w14:paraId="0FAB843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NW</w:t>
                  </w:r>
                </w:p>
              </w:tc>
              <w:tc>
                <w:tcPr>
                  <w:tcW w:w="730" w:type="pct"/>
                  <w:shd w:val="clear" w:color="auto" w:fill="auto"/>
                  <w:vAlign w:val="center"/>
                </w:tcPr>
                <w:p w14:paraId="4D3486C7">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410</w:t>
                  </w:r>
                </w:p>
              </w:tc>
            </w:tr>
          </w:tbl>
          <w:p w14:paraId="77D7342E">
            <w:pPr>
              <w:ind w:firstLine="482"/>
              <w:rPr>
                <w:b/>
                <w:bCs/>
                <w:color w:val="auto"/>
                <w:highlight w:val="none"/>
              </w:rPr>
            </w:pPr>
            <w:r>
              <w:rPr>
                <w:rFonts w:hint="eastAsia"/>
                <w:b/>
                <w:bCs/>
                <w:color w:val="auto"/>
                <w:highlight w:val="none"/>
                <w:lang w:eastAsia="zh-CN"/>
              </w:rPr>
              <w:t>2.</w:t>
            </w:r>
            <w:r>
              <w:rPr>
                <w:rFonts w:hint="eastAsia"/>
                <w:b/>
                <w:bCs/>
                <w:color w:val="auto"/>
                <w:highlight w:val="none"/>
              </w:rPr>
              <w:t>声环境保护目标情况</w:t>
            </w:r>
          </w:p>
          <w:p w14:paraId="15F9B7AF">
            <w:pPr>
              <w:ind w:firstLine="480"/>
              <w:rPr>
                <w:color w:val="auto"/>
                <w:highlight w:val="none"/>
              </w:rPr>
            </w:pPr>
            <w:r>
              <w:rPr>
                <w:rFonts w:hint="eastAsia"/>
                <w:color w:val="auto"/>
                <w:highlight w:val="none"/>
              </w:rPr>
              <w:t>根据现场勘查，</w:t>
            </w:r>
            <w:r>
              <w:rPr>
                <w:color w:val="auto"/>
                <w:highlight w:val="none"/>
              </w:rPr>
              <w:t>本项目</w:t>
            </w:r>
            <w:r>
              <w:rPr>
                <w:rFonts w:hint="eastAsia"/>
                <w:color w:val="auto"/>
                <w:highlight w:val="none"/>
                <w:lang w:val="en-US" w:eastAsia="zh-CN"/>
              </w:rPr>
              <w:t>厂界</w:t>
            </w:r>
            <w:r>
              <w:rPr>
                <w:rFonts w:hint="eastAsia"/>
                <w:color w:val="auto"/>
                <w:highlight w:val="none"/>
              </w:rPr>
              <w:t>周边50米范围内无声环境保护目标。</w:t>
            </w:r>
          </w:p>
          <w:p w14:paraId="28086880">
            <w:pPr>
              <w:ind w:firstLine="482"/>
              <w:rPr>
                <w:b/>
                <w:bCs/>
                <w:color w:val="auto"/>
                <w:highlight w:val="none"/>
              </w:rPr>
            </w:pPr>
            <w:r>
              <w:rPr>
                <w:rFonts w:hint="eastAsia"/>
                <w:b/>
                <w:bCs/>
                <w:color w:val="auto"/>
                <w:highlight w:val="none"/>
                <w:lang w:eastAsia="zh-CN"/>
              </w:rPr>
              <w:t>3.</w:t>
            </w:r>
            <w:r>
              <w:rPr>
                <w:rFonts w:hint="eastAsia"/>
                <w:b/>
                <w:bCs/>
                <w:color w:val="auto"/>
                <w:highlight w:val="none"/>
              </w:rPr>
              <w:t>地下水环境保护目标情况</w:t>
            </w:r>
          </w:p>
          <w:p w14:paraId="659DCB9E">
            <w:pPr>
              <w:ind w:firstLine="480"/>
              <w:rPr>
                <w:color w:val="auto"/>
                <w:highlight w:val="none"/>
              </w:rPr>
            </w:pPr>
            <w:r>
              <w:rPr>
                <w:rFonts w:hint="eastAsia"/>
                <w:color w:val="auto"/>
                <w:highlight w:val="none"/>
              </w:rPr>
              <w:t>本项目</w:t>
            </w:r>
            <w:r>
              <w:rPr>
                <w:rFonts w:hint="eastAsia"/>
                <w:color w:val="auto"/>
                <w:highlight w:val="none"/>
                <w:lang w:val="en-US" w:eastAsia="zh-CN"/>
              </w:rPr>
              <w:t>厂界</w:t>
            </w:r>
            <w:r>
              <w:rPr>
                <w:rFonts w:hint="eastAsia"/>
                <w:color w:val="auto"/>
                <w:highlight w:val="none"/>
              </w:rPr>
              <w:t>500m范围内无地下水集中式饮用水水源和热水、矿泉水、温泉等特殊地下水资源。</w:t>
            </w:r>
          </w:p>
          <w:p w14:paraId="7199536C">
            <w:pPr>
              <w:ind w:firstLine="482"/>
              <w:rPr>
                <w:b/>
                <w:bCs/>
                <w:color w:val="auto"/>
                <w:highlight w:val="none"/>
              </w:rPr>
            </w:pPr>
            <w:r>
              <w:rPr>
                <w:rFonts w:hint="eastAsia"/>
                <w:b/>
                <w:bCs/>
                <w:color w:val="auto"/>
                <w:highlight w:val="none"/>
                <w:lang w:eastAsia="zh-CN"/>
              </w:rPr>
              <w:t>4.</w:t>
            </w:r>
            <w:r>
              <w:rPr>
                <w:rFonts w:hint="eastAsia"/>
                <w:b/>
                <w:bCs/>
                <w:color w:val="auto"/>
                <w:highlight w:val="none"/>
              </w:rPr>
              <w:t>生态环境保护目标情况</w:t>
            </w:r>
          </w:p>
          <w:p w14:paraId="40966AFD">
            <w:pPr>
              <w:ind w:firstLine="480"/>
              <w:rPr>
                <w:rFonts w:hint="eastAsia"/>
                <w:color w:val="auto"/>
                <w:highlight w:val="none"/>
              </w:rPr>
            </w:pPr>
            <w:bookmarkStart w:id="116" w:name="sys1206033"/>
            <w:r>
              <w:rPr>
                <w:rFonts w:hint="eastAsia"/>
                <w:color w:val="auto"/>
                <w:highlight w:val="none"/>
              </w:rPr>
              <w:t>本项目位于</w:t>
            </w:r>
            <w:r>
              <w:rPr>
                <w:rFonts w:hint="eastAsia"/>
                <w:color w:val="auto"/>
                <w:highlight w:val="none"/>
                <w:lang w:eastAsia="zh-CN"/>
              </w:rPr>
              <w:t>南京市</w:t>
            </w:r>
            <w:r>
              <w:rPr>
                <w:rFonts w:hint="eastAsia"/>
                <w:color w:val="auto"/>
                <w:highlight w:val="none"/>
                <w:lang w:val="en-US" w:eastAsia="zh-CN"/>
              </w:rPr>
              <w:t>江宁经济技术开发区横溪街道乐园路7号</w:t>
            </w:r>
            <w:r>
              <w:rPr>
                <w:rFonts w:hint="eastAsia"/>
                <w:color w:val="auto"/>
                <w:highlight w:val="none"/>
              </w:rPr>
              <w:t>，不新增用地。</w:t>
            </w:r>
            <w:bookmarkEnd w:id="116"/>
          </w:p>
          <w:p w14:paraId="11CE07AC">
            <w:pPr>
              <w:ind w:firstLine="480"/>
              <w:rPr>
                <w:rFonts w:hint="eastAsia"/>
                <w:color w:val="auto"/>
                <w:highlight w:val="none"/>
              </w:rPr>
            </w:pPr>
          </w:p>
        </w:tc>
      </w:tr>
      <w:tr w14:paraId="7D4D6A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52" w:type="dxa"/>
            <w:tcMar>
              <w:left w:w="28" w:type="dxa"/>
              <w:right w:w="28" w:type="dxa"/>
            </w:tcMar>
            <w:vAlign w:val="center"/>
          </w:tcPr>
          <w:p w14:paraId="12FA163A">
            <w:pPr>
              <w:adjustRightInd w:val="0"/>
              <w:snapToGrid w:val="0"/>
              <w:spacing w:line="240" w:lineRule="auto"/>
              <w:ind w:firstLine="0" w:firstLineChars="0"/>
              <w:jc w:val="center"/>
              <w:rPr>
                <w:color w:val="auto"/>
                <w:kern w:val="0"/>
                <w:highlight w:val="none"/>
              </w:rPr>
            </w:pPr>
            <w:r>
              <w:rPr>
                <w:b/>
                <w:bCs/>
                <w:color w:val="auto"/>
                <w:kern w:val="0"/>
                <w:highlight w:val="none"/>
              </w:rPr>
              <w:t>污染物排放控制标准</w:t>
            </w:r>
          </w:p>
        </w:tc>
        <w:tc>
          <w:tcPr>
            <w:tcW w:w="8609" w:type="dxa"/>
            <w:vAlign w:val="center"/>
          </w:tcPr>
          <w:p w14:paraId="1F33676B">
            <w:pPr>
              <w:numPr>
                <w:ilvl w:val="0"/>
                <w:numId w:val="0"/>
              </w:numPr>
              <w:ind w:firstLine="482" w:firstLineChars="200"/>
              <w:rPr>
                <w:b/>
                <w:bCs/>
                <w:color w:val="auto"/>
                <w:highlight w:val="none"/>
              </w:rPr>
            </w:pPr>
            <w:r>
              <w:rPr>
                <w:rFonts w:ascii="Times New Roman" w:hAnsi="Times New Roman" w:eastAsia="宋体" w:cs="Times New Roman"/>
                <w:b/>
                <w:bCs/>
                <w:color w:val="auto"/>
                <w:kern w:val="2"/>
                <w:sz w:val="24"/>
                <w:szCs w:val="24"/>
                <w:highlight w:val="none"/>
                <w:lang w:val="en-US" w:eastAsia="zh-CN" w:bidi="ar-SA"/>
              </w:rPr>
              <w:t>1</w:t>
            </w:r>
            <w:r>
              <w:rPr>
                <w:rFonts w:hint="eastAsia" w:cs="Times New Roman"/>
                <w:b/>
                <w:bCs/>
                <w:color w:val="auto"/>
                <w:kern w:val="2"/>
                <w:sz w:val="24"/>
                <w:szCs w:val="24"/>
                <w:highlight w:val="none"/>
                <w:lang w:val="en-US" w:eastAsia="zh-CN" w:bidi="ar-SA"/>
              </w:rPr>
              <w:t>.</w:t>
            </w:r>
            <w:r>
              <w:rPr>
                <w:b/>
                <w:bCs/>
                <w:color w:val="auto"/>
                <w:highlight w:val="none"/>
              </w:rPr>
              <w:t>废气排放标准</w:t>
            </w:r>
          </w:p>
          <w:p w14:paraId="4378A76F">
            <w:pPr>
              <w:pStyle w:val="51"/>
              <w:keepNext w:val="0"/>
              <w:keepLines w:val="0"/>
              <w:pageBreakBefore w:val="0"/>
              <w:widowControl w:val="0"/>
              <w:numPr>
                <w:ilvl w:val="0"/>
                <w:numId w:val="0"/>
              </w:numPr>
              <w:kinsoku/>
              <w:wordWrap/>
              <w:overflowPunct/>
              <w:topLinePunct w:val="0"/>
              <w:autoSpaceDE/>
              <w:autoSpaceDN/>
              <w:bidi w:val="0"/>
              <w:adjustRightInd/>
              <w:snapToGrid/>
              <w:spacing w:before="0" w:beforeLines="0" w:line="440" w:lineRule="exact"/>
              <w:ind w:firstLine="480" w:firstLineChars="20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eastAsia" w:cs="Times New Roman"/>
                <w:b w:val="0"/>
                <w:color w:val="auto"/>
                <w:kern w:val="2"/>
                <w:sz w:val="24"/>
                <w:szCs w:val="24"/>
                <w:highlight w:val="none"/>
                <w:lang w:val="en-US" w:eastAsia="zh-CN" w:bidi="ar-SA"/>
              </w:rPr>
              <w:t>本项目排放废气因子为非甲烷总烃、颗粒物、氟化物。</w:t>
            </w:r>
            <w:bookmarkStart w:id="117" w:name="sys121024107"/>
            <w:r>
              <w:rPr>
                <w:rFonts w:hint="default" w:ascii="Times New Roman" w:hAnsi="Times New Roman" w:eastAsia="宋体" w:cs="Times New Roman"/>
                <w:b w:val="0"/>
                <w:color w:val="auto"/>
                <w:kern w:val="2"/>
                <w:sz w:val="24"/>
                <w:szCs w:val="24"/>
                <w:highlight w:val="none"/>
                <w:lang w:val="en-US" w:eastAsia="zh-CN" w:bidi="ar-SA"/>
              </w:rPr>
              <w:t>厂界污染物</w:t>
            </w:r>
            <w:r>
              <w:rPr>
                <w:rFonts w:hint="eastAsia" w:cs="Times New Roman"/>
                <w:b w:val="0"/>
                <w:color w:val="auto"/>
                <w:kern w:val="2"/>
                <w:sz w:val="24"/>
                <w:szCs w:val="24"/>
                <w:highlight w:val="none"/>
                <w:lang w:val="en-US" w:eastAsia="zh-CN" w:bidi="ar-SA"/>
              </w:rPr>
              <w:t>非甲烷总烃、颗粒物、</w:t>
            </w:r>
            <w:r>
              <w:rPr>
                <w:rFonts w:hint="eastAsia" w:cs="Times New Roman"/>
                <w:b w:val="0"/>
                <w:bCs/>
                <w:color w:val="auto"/>
                <w:highlight w:val="none"/>
                <w:lang w:val="en-US" w:eastAsia="zh-CN"/>
              </w:rPr>
              <w:t>氟化物</w:t>
            </w:r>
            <w:r>
              <w:rPr>
                <w:rFonts w:hint="eastAsia" w:cs="Times New Roman"/>
                <w:b w:val="0"/>
                <w:color w:val="auto"/>
                <w:kern w:val="2"/>
                <w:sz w:val="24"/>
                <w:szCs w:val="24"/>
                <w:highlight w:val="none"/>
                <w:lang w:val="en-US" w:eastAsia="zh-CN" w:bidi="ar-SA"/>
              </w:rPr>
              <w:t>排放</w:t>
            </w:r>
            <w:r>
              <w:rPr>
                <w:rFonts w:hint="default" w:ascii="Times New Roman" w:hAnsi="Times New Roman" w:eastAsia="宋体" w:cs="Times New Roman"/>
                <w:b w:val="0"/>
                <w:color w:val="auto"/>
                <w:kern w:val="2"/>
                <w:sz w:val="24"/>
                <w:szCs w:val="24"/>
                <w:highlight w:val="none"/>
                <w:lang w:val="en-US" w:eastAsia="zh-CN" w:bidi="ar-SA"/>
              </w:rPr>
              <w:t>执行《大气污染物综合排放标准》（DB32/4041-2021）表</w:t>
            </w:r>
            <w:r>
              <w:rPr>
                <w:rFonts w:hint="eastAsia" w:cs="Times New Roman"/>
                <w:b w:val="0"/>
                <w:color w:val="auto"/>
                <w:kern w:val="2"/>
                <w:sz w:val="24"/>
                <w:szCs w:val="24"/>
                <w:highlight w:val="none"/>
                <w:lang w:val="en-US" w:eastAsia="zh-CN" w:bidi="ar-SA"/>
              </w:rPr>
              <w:t>3</w:t>
            </w:r>
            <w:r>
              <w:rPr>
                <w:rFonts w:hint="default" w:ascii="Times New Roman" w:hAnsi="Times New Roman" w:eastAsia="宋体" w:cs="Times New Roman"/>
                <w:b w:val="0"/>
                <w:color w:val="auto"/>
                <w:kern w:val="2"/>
                <w:sz w:val="24"/>
                <w:szCs w:val="24"/>
                <w:highlight w:val="none"/>
                <w:lang w:val="en-US" w:eastAsia="zh-CN" w:bidi="ar-SA"/>
              </w:rPr>
              <w:t>限值</w:t>
            </w:r>
            <w:r>
              <w:rPr>
                <w:rFonts w:hint="eastAsia"/>
                <w:b w:val="0"/>
                <w:bCs/>
                <w:color w:val="auto"/>
                <w:highlight w:val="none"/>
                <w:lang w:val="en-US" w:eastAsia="zh-CN"/>
              </w:rPr>
              <w:t>。</w:t>
            </w:r>
            <w:r>
              <w:rPr>
                <w:rFonts w:hint="default" w:ascii="Times New Roman" w:hAnsi="Times New Roman" w:eastAsia="宋体" w:cs="Times New Roman"/>
                <w:b w:val="0"/>
                <w:color w:val="auto"/>
                <w:kern w:val="2"/>
                <w:sz w:val="24"/>
                <w:szCs w:val="24"/>
                <w:highlight w:val="none"/>
                <w:lang w:val="en-US" w:eastAsia="zh-CN" w:bidi="ar-SA"/>
              </w:rPr>
              <w:t>厂区内非甲烷总烃无组织排放限值执行《大气污染物综合排放标准》（DB32/4041-2021）表</w:t>
            </w:r>
            <w:r>
              <w:rPr>
                <w:rFonts w:hint="eastAsia" w:cs="Times New Roman"/>
                <w:b w:val="0"/>
                <w:color w:val="auto"/>
                <w:kern w:val="2"/>
                <w:sz w:val="24"/>
                <w:szCs w:val="24"/>
                <w:highlight w:val="none"/>
                <w:lang w:val="en-US" w:eastAsia="zh-CN" w:bidi="ar-SA"/>
              </w:rPr>
              <w:t>2</w:t>
            </w:r>
            <w:r>
              <w:rPr>
                <w:rFonts w:hint="default" w:ascii="Times New Roman" w:hAnsi="Times New Roman" w:eastAsia="宋体" w:cs="Times New Roman"/>
                <w:b w:val="0"/>
                <w:color w:val="auto"/>
                <w:kern w:val="2"/>
                <w:sz w:val="24"/>
                <w:szCs w:val="24"/>
                <w:highlight w:val="none"/>
                <w:lang w:val="en-US" w:eastAsia="zh-CN" w:bidi="ar-SA"/>
              </w:rPr>
              <w:t>限值。</w:t>
            </w:r>
            <w:bookmarkEnd w:id="117"/>
            <w:r>
              <w:rPr>
                <w:rFonts w:hint="eastAsia" w:cs="Times New Roman"/>
                <w:b w:val="0"/>
                <w:color w:val="auto"/>
                <w:kern w:val="2"/>
                <w:sz w:val="24"/>
                <w:szCs w:val="24"/>
                <w:highlight w:val="none"/>
                <w:lang w:val="en-US" w:eastAsia="zh-CN" w:bidi="ar-SA"/>
              </w:rPr>
              <w:t>详见</w:t>
            </w:r>
            <w:r>
              <w:rPr>
                <w:rFonts w:hint="default" w:ascii="Times New Roman" w:hAnsi="Times New Roman" w:eastAsia="宋体" w:cs="Times New Roman"/>
                <w:b w:val="0"/>
                <w:color w:val="auto"/>
                <w:kern w:val="2"/>
                <w:sz w:val="24"/>
                <w:szCs w:val="24"/>
                <w:highlight w:val="none"/>
                <w:lang w:val="en-US" w:eastAsia="zh-CN" w:bidi="ar-SA"/>
              </w:rPr>
              <w:t>表3-</w:t>
            </w:r>
            <w:r>
              <w:rPr>
                <w:rFonts w:hint="eastAsia" w:cs="Times New Roman"/>
                <w:b w:val="0"/>
                <w:color w:val="auto"/>
                <w:kern w:val="2"/>
                <w:sz w:val="24"/>
                <w:szCs w:val="24"/>
                <w:highlight w:val="none"/>
                <w:lang w:val="en-US" w:eastAsia="zh-CN" w:bidi="ar-SA"/>
              </w:rPr>
              <w:t>6</w:t>
            </w:r>
            <w:r>
              <w:rPr>
                <w:rFonts w:hint="default" w:ascii="Times New Roman" w:hAnsi="Times New Roman" w:eastAsia="宋体" w:cs="Times New Roman"/>
                <w:b w:val="0"/>
                <w:color w:val="auto"/>
                <w:kern w:val="2"/>
                <w:sz w:val="24"/>
                <w:szCs w:val="24"/>
                <w:highlight w:val="none"/>
                <w:lang w:val="en-US" w:eastAsia="zh-CN" w:bidi="ar-SA"/>
              </w:rPr>
              <w:t>、表3-</w:t>
            </w:r>
            <w:r>
              <w:rPr>
                <w:rFonts w:hint="eastAsia" w:cs="Times New Roman"/>
                <w:b w:val="0"/>
                <w:color w:val="auto"/>
                <w:kern w:val="2"/>
                <w:sz w:val="24"/>
                <w:szCs w:val="24"/>
                <w:highlight w:val="none"/>
                <w:lang w:val="en-US" w:eastAsia="zh-CN" w:bidi="ar-SA"/>
              </w:rPr>
              <w:t>7。</w:t>
            </w:r>
          </w:p>
          <w:p w14:paraId="6CD4A021">
            <w:pPr>
              <w:pStyle w:val="51"/>
              <w:spacing w:before="120"/>
              <w:ind w:firstLine="482"/>
              <w:rPr>
                <w:rFonts w:hint="eastAsia" w:ascii="Times New Roman" w:hAnsi="Times New Roman" w:eastAsia="宋体" w:cs="Times New Roman"/>
                <w:color w:val="auto"/>
                <w:highlight w:val="none"/>
              </w:rPr>
            </w:pPr>
            <w:r>
              <w:rPr>
                <w:rFonts w:hint="eastAsia" w:cs="Times New Roman"/>
                <w:color w:val="auto"/>
                <w:highlight w:val="none"/>
                <w:lang w:val="en-US" w:eastAsia="zh-CN"/>
              </w:rPr>
              <w:t>无组织</w:t>
            </w:r>
            <w:r>
              <w:rPr>
                <w:rFonts w:hint="eastAsia" w:ascii="Times New Roman" w:hAnsi="Times New Roman" w:eastAsia="宋体" w:cs="Times New Roman"/>
                <w:color w:val="auto"/>
                <w:highlight w:val="none"/>
                <w:lang w:val="en-US" w:eastAsia="zh-CN"/>
              </w:rPr>
              <w:t>大气污染物排放标准</w:t>
            </w:r>
          </w:p>
          <w:tbl>
            <w:tblPr>
              <w:tblStyle w:val="3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224"/>
              <w:gridCol w:w="1208"/>
              <w:gridCol w:w="1383"/>
              <w:gridCol w:w="3575"/>
            </w:tblGrid>
            <w:tr w14:paraId="050C56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69" w:type="pct"/>
                  <w:gridSpan w:val="3"/>
                  <w:tcBorders>
                    <w:tl2br w:val="nil"/>
                    <w:tr2bl w:val="nil"/>
                  </w:tcBorders>
                  <w:shd w:val="clear" w:color="auto" w:fill="auto"/>
                  <w:vAlign w:val="center"/>
                </w:tcPr>
                <w:p w14:paraId="77777E46">
                  <w:pPr>
                    <w:pStyle w:val="48"/>
                    <w:bidi w:val="0"/>
                    <w:rPr>
                      <w:b/>
                      <w:bCs/>
                      <w:color w:val="auto"/>
                      <w:highlight w:val="none"/>
                    </w:rPr>
                  </w:pPr>
                  <w:r>
                    <w:rPr>
                      <w:b/>
                      <w:bCs/>
                      <w:color w:val="auto"/>
                      <w:highlight w:val="none"/>
                    </w:rPr>
                    <w:t>无组织排放限值</w:t>
                  </w:r>
                </w:p>
              </w:tc>
              <w:tc>
                <w:tcPr>
                  <w:tcW w:w="2130" w:type="pct"/>
                  <w:vMerge w:val="restart"/>
                  <w:tcBorders>
                    <w:tl2br w:val="nil"/>
                    <w:tr2bl w:val="nil"/>
                  </w:tcBorders>
                  <w:shd w:val="clear" w:color="auto" w:fill="auto"/>
                  <w:vAlign w:val="center"/>
                </w:tcPr>
                <w:p w14:paraId="006DC1B5">
                  <w:pPr>
                    <w:pStyle w:val="48"/>
                    <w:bidi w:val="0"/>
                    <w:rPr>
                      <w:b/>
                      <w:bCs/>
                      <w:color w:val="auto"/>
                      <w:highlight w:val="none"/>
                    </w:rPr>
                  </w:pPr>
                  <w:r>
                    <w:rPr>
                      <w:b/>
                      <w:bCs/>
                      <w:color w:val="auto"/>
                      <w:highlight w:val="none"/>
                    </w:rPr>
                    <w:t>标准来源</w:t>
                  </w:r>
                </w:p>
              </w:tc>
            </w:tr>
            <w:tr w14:paraId="23BBF8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1325" w:type="pct"/>
                  <w:tcBorders>
                    <w:tl2br w:val="nil"/>
                    <w:tr2bl w:val="nil"/>
                  </w:tcBorders>
                  <w:shd w:val="clear" w:color="auto" w:fill="auto"/>
                  <w:vAlign w:val="center"/>
                </w:tcPr>
                <w:p w14:paraId="33E62626">
                  <w:pPr>
                    <w:pStyle w:val="48"/>
                    <w:bidi w:val="0"/>
                    <w:ind w:firstLine="0" w:firstLineChars="0"/>
                    <w:rPr>
                      <w:rFonts w:ascii="Times New Roman" w:hAnsi="Times New Roman" w:eastAsia="宋体" w:cs="Times New Roman"/>
                      <w:b/>
                      <w:bCs/>
                      <w:color w:val="auto"/>
                      <w:kern w:val="0"/>
                      <w:sz w:val="21"/>
                      <w:szCs w:val="24"/>
                      <w:highlight w:val="none"/>
                      <w:lang w:val="en-US" w:eastAsia="zh-CN" w:bidi="ar-SA"/>
                    </w:rPr>
                  </w:pPr>
                  <w:r>
                    <w:rPr>
                      <w:b/>
                      <w:bCs/>
                      <w:color w:val="auto"/>
                      <w:highlight w:val="none"/>
                    </w:rPr>
                    <w:t>污染物</w:t>
                  </w:r>
                </w:p>
              </w:tc>
              <w:tc>
                <w:tcPr>
                  <w:tcW w:w="719" w:type="pct"/>
                  <w:tcBorders>
                    <w:tl2br w:val="nil"/>
                    <w:tr2bl w:val="nil"/>
                  </w:tcBorders>
                  <w:shd w:val="clear" w:color="auto" w:fill="auto"/>
                  <w:vAlign w:val="center"/>
                </w:tcPr>
                <w:p w14:paraId="71545B2E">
                  <w:pPr>
                    <w:pStyle w:val="48"/>
                    <w:bidi w:val="0"/>
                    <w:ind w:firstLine="0" w:firstLineChars="0"/>
                    <w:rPr>
                      <w:rFonts w:ascii="Times New Roman" w:hAnsi="Times New Roman" w:eastAsia="宋体" w:cs="Times New Roman"/>
                      <w:b/>
                      <w:bCs/>
                      <w:color w:val="auto"/>
                      <w:kern w:val="0"/>
                      <w:sz w:val="21"/>
                      <w:szCs w:val="24"/>
                      <w:highlight w:val="none"/>
                      <w:lang w:val="en-US" w:eastAsia="zh-CN" w:bidi="ar-SA"/>
                    </w:rPr>
                  </w:pPr>
                  <w:r>
                    <w:rPr>
                      <w:b/>
                      <w:bCs/>
                      <w:color w:val="auto"/>
                      <w:highlight w:val="none"/>
                    </w:rPr>
                    <w:t>监控点</w:t>
                  </w:r>
                </w:p>
              </w:tc>
              <w:tc>
                <w:tcPr>
                  <w:tcW w:w="824" w:type="pct"/>
                  <w:tcBorders>
                    <w:tl2br w:val="nil"/>
                    <w:tr2bl w:val="nil"/>
                  </w:tcBorders>
                  <w:shd w:val="clear" w:color="auto" w:fill="auto"/>
                  <w:vAlign w:val="center"/>
                </w:tcPr>
                <w:p w14:paraId="42A416C8">
                  <w:pPr>
                    <w:pStyle w:val="48"/>
                    <w:bidi w:val="0"/>
                    <w:rPr>
                      <w:b/>
                      <w:bCs/>
                      <w:color w:val="auto"/>
                      <w:highlight w:val="none"/>
                    </w:rPr>
                  </w:pPr>
                  <w:r>
                    <w:rPr>
                      <w:b/>
                      <w:bCs/>
                      <w:color w:val="auto"/>
                      <w:highlight w:val="none"/>
                    </w:rPr>
                    <w:t>浓度mg/m</w:t>
                  </w:r>
                  <w:r>
                    <w:rPr>
                      <w:b/>
                      <w:bCs/>
                      <w:color w:val="auto"/>
                      <w:highlight w:val="none"/>
                      <w:vertAlign w:val="superscript"/>
                    </w:rPr>
                    <w:t>3</w:t>
                  </w:r>
                </w:p>
              </w:tc>
              <w:tc>
                <w:tcPr>
                  <w:tcW w:w="2130" w:type="pct"/>
                  <w:vMerge w:val="continue"/>
                  <w:tcBorders>
                    <w:tl2br w:val="nil"/>
                    <w:tr2bl w:val="nil"/>
                  </w:tcBorders>
                  <w:shd w:val="clear" w:color="auto" w:fill="auto"/>
                  <w:vAlign w:val="center"/>
                </w:tcPr>
                <w:p w14:paraId="6394249E">
                  <w:pPr>
                    <w:pStyle w:val="48"/>
                    <w:bidi w:val="0"/>
                    <w:rPr>
                      <w:b/>
                      <w:bCs/>
                      <w:color w:val="auto"/>
                      <w:highlight w:val="none"/>
                    </w:rPr>
                  </w:pPr>
                </w:p>
              </w:tc>
            </w:tr>
            <w:tr w14:paraId="1AE22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1325" w:type="pct"/>
                  <w:tcBorders>
                    <w:tl2br w:val="nil"/>
                    <w:tr2bl w:val="nil"/>
                  </w:tcBorders>
                  <w:shd w:val="clear" w:color="auto" w:fill="auto"/>
                  <w:vAlign w:val="center"/>
                </w:tcPr>
                <w:p w14:paraId="5119329D">
                  <w:pPr>
                    <w:pStyle w:val="48"/>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颗粒物</w:t>
                  </w:r>
                </w:p>
              </w:tc>
              <w:tc>
                <w:tcPr>
                  <w:tcW w:w="719" w:type="pct"/>
                  <w:vMerge w:val="restart"/>
                  <w:tcBorders>
                    <w:tl2br w:val="nil"/>
                    <w:tr2bl w:val="nil"/>
                  </w:tcBorders>
                  <w:shd w:val="clear" w:color="auto" w:fill="auto"/>
                  <w:vAlign w:val="center"/>
                </w:tcPr>
                <w:p w14:paraId="5A6397BC">
                  <w:pPr>
                    <w:pStyle w:val="48"/>
                    <w:bidi w:val="0"/>
                    <w:ind w:firstLine="0" w:firstLineChars="0"/>
                    <w:rPr>
                      <w:rFonts w:ascii="Times New Roman" w:hAnsi="Times New Roman" w:eastAsia="宋体" w:cs="Times New Roman"/>
                      <w:color w:val="auto"/>
                      <w:kern w:val="0"/>
                      <w:sz w:val="21"/>
                      <w:szCs w:val="24"/>
                      <w:highlight w:val="none"/>
                      <w:lang w:val="en-US" w:eastAsia="zh-CN" w:bidi="ar-SA"/>
                    </w:rPr>
                  </w:pPr>
                  <w:r>
                    <w:rPr>
                      <w:color w:val="auto"/>
                      <w:highlight w:val="none"/>
                    </w:rPr>
                    <w:t>边界外浓度最高点</w:t>
                  </w:r>
                </w:p>
              </w:tc>
              <w:tc>
                <w:tcPr>
                  <w:tcW w:w="824" w:type="pct"/>
                  <w:tcBorders>
                    <w:tl2br w:val="nil"/>
                    <w:tr2bl w:val="nil"/>
                  </w:tcBorders>
                  <w:shd w:val="clear" w:color="auto" w:fill="auto"/>
                  <w:vAlign w:val="center"/>
                </w:tcPr>
                <w:p w14:paraId="285A7794">
                  <w:pPr>
                    <w:pStyle w:val="48"/>
                    <w:bidi w:val="0"/>
                    <w:rPr>
                      <w:rFonts w:hint="default" w:eastAsia="宋体"/>
                      <w:color w:val="auto"/>
                      <w:highlight w:val="none"/>
                      <w:lang w:val="en-US" w:eastAsia="zh-CN"/>
                    </w:rPr>
                  </w:pPr>
                  <w:r>
                    <w:rPr>
                      <w:rFonts w:hint="eastAsia"/>
                      <w:color w:val="auto"/>
                      <w:highlight w:val="none"/>
                      <w:lang w:val="en-US" w:eastAsia="zh-CN"/>
                    </w:rPr>
                    <w:t>0.5</w:t>
                  </w:r>
                </w:p>
              </w:tc>
              <w:tc>
                <w:tcPr>
                  <w:tcW w:w="2130" w:type="pct"/>
                  <w:vMerge w:val="restart"/>
                  <w:tcBorders>
                    <w:tl2br w:val="nil"/>
                    <w:tr2bl w:val="nil"/>
                  </w:tcBorders>
                  <w:shd w:val="clear" w:color="auto" w:fill="auto"/>
                  <w:vAlign w:val="center"/>
                </w:tcPr>
                <w:p w14:paraId="672E9443">
                  <w:pPr>
                    <w:pStyle w:val="48"/>
                    <w:bidi w:val="0"/>
                    <w:rPr>
                      <w:color w:val="auto"/>
                      <w:highlight w:val="none"/>
                    </w:rPr>
                  </w:pPr>
                  <w:r>
                    <w:rPr>
                      <w:color w:val="auto"/>
                      <w:highlight w:val="none"/>
                    </w:rPr>
                    <w:t>《大气污染物综合排放标准》（DB32/4041-2021）</w:t>
                  </w:r>
                </w:p>
              </w:tc>
            </w:tr>
            <w:tr w14:paraId="20645B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1325" w:type="pct"/>
                  <w:tcBorders>
                    <w:tl2br w:val="nil"/>
                    <w:tr2bl w:val="nil"/>
                  </w:tcBorders>
                  <w:shd w:val="clear" w:color="auto" w:fill="auto"/>
                  <w:vAlign w:val="center"/>
                </w:tcPr>
                <w:p w14:paraId="3C2A5756">
                  <w:pPr>
                    <w:pStyle w:val="48"/>
                    <w:bidi w:val="0"/>
                    <w:ind w:firstLine="0" w:firstLineChars="0"/>
                    <w:rPr>
                      <w:rFonts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非甲烷总烃</w:t>
                  </w:r>
                </w:p>
              </w:tc>
              <w:tc>
                <w:tcPr>
                  <w:tcW w:w="719" w:type="pct"/>
                  <w:vMerge w:val="continue"/>
                  <w:tcBorders>
                    <w:tl2br w:val="nil"/>
                    <w:tr2bl w:val="nil"/>
                  </w:tcBorders>
                  <w:shd w:val="clear" w:color="auto" w:fill="auto"/>
                  <w:vAlign w:val="center"/>
                </w:tcPr>
                <w:p w14:paraId="31FCB8B1">
                  <w:pPr>
                    <w:pStyle w:val="48"/>
                    <w:bidi w:val="0"/>
                    <w:rPr>
                      <w:color w:val="auto"/>
                      <w:highlight w:val="none"/>
                    </w:rPr>
                  </w:pPr>
                </w:p>
              </w:tc>
              <w:tc>
                <w:tcPr>
                  <w:tcW w:w="824" w:type="pct"/>
                  <w:tcBorders>
                    <w:tl2br w:val="nil"/>
                    <w:tr2bl w:val="nil"/>
                  </w:tcBorders>
                  <w:shd w:val="clear" w:color="auto" w:fill="auto"/>
                  <w:vAlign w:val="center"/>
                </w:tcPr>
                <w:p w14:paraId="49C4503F">
                  <w:pPr>
                    <w:pStyle w:val="48"/>
                    <w:bidi w:val="0"/>
                    <w:rPr>
                      <w:color w:val="auto"/>
                      <w:highlight w:val="none"/>
                    </w:rPr>
                  </w:pPr>
                  <w:r>
                    <w:rPr>
                      <w:color w:val="auto"/>
                      <w:highlight w:val="none"/>
                    </w:rPr>
                    <w:t>4</w:t>
                  </w:r>
                </w:p>
              </w:tc>
              <w:tc>
                <w:tcPr>
                  <w:tcW w:w="2130" w:type="pct"/>
                  <w:vMerge w:val="continue"/>
                  <w:tcBorders>
                    <w:tl2br w:val="nil"/>
                    <w:tr2bl w:val="nil"/>
                  </w:tcBorders>
                  <w:shd w:val="clear" w:color="auto" w:fill="auto"/>
                  <w:vAlign w:val="center"/>
                </w:tcPr>
                <w:p w14:paraId="1ABB2ADC">
                  <w:pPr>
                    <w:pStyle w:val="48"/>
                    <w:bidi w:val="0"/>
                    <w:rPr>
                      <w:color w:val="auto"/>
                      <w:highlight w:val="none"/>
                    </w:rPr>
                  </w:pPr>
                </w:p>
              </w:tc>
            </w:tr>
            <w:tr w14:paraId="7AA276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25" w:type="pct"/>
                  <w:tcBorders>
                    <w:tl2br w:val="nil"/>
                    <w:tr2bl w:val="nil"/>
                  </w:tcBorders>
                  <w:shd w:val="clear" w:color="auto" w:fill="auto"/>
                  <w:vAlign w:val="center"/>
                </w:tcPr>
                <w:p w14:paraId="7BDFE318">
                  <w:pPr>
                    <w:pStyle w:val="48"/>
                    <w:bidi w:val="0"/>
                    <w:ind w:firstLine="0" w:firstLineChars="0"/>
                    <w:rPr>
                      <w:rFonts w:hint="default"/>
                      <w:color w:val="auto"/>
                      <w:highlight w:val="none"/>
                      <w:lang w:val="en-US" w:eastAsia="zh-CN"/>
                    </w:rPr>
                  </w:pPr>
                  <w:r>
                    <w:rPr>
                      <w:rFonts w:hint="eastAsia"/>
                      <w:color w:val="auto"/>
                      <w:highlight w:val="none"/>
                      <w:lang w:val="en-US" w:eastAsia="zh-CN"/>
                    </w:rPr>
                    <w:t>氟化物</w:t>
                  </w:r>
                </w:p>
              </w:tc>
              <w:tc>
                <w:tcPr>
                  <w:tcW w:w="719" w:type="pct"/>
                  <w:vMerge w:val="continue"/>
                  <w:tcBorders>
                    <w:tl2br w:val="nil"/>
                    <w:tr2bl w:val="nil"/>
                  </w:tcBorders>
                  <w:shd w:val="clear" w:color="auto" w:fill="auto"/>
                  <w:vAlign w:val="center"/>
                </w:tcPr>
                <w:p w14:paraId="688CEE41">
                  <w:pPr>
                    <w:pStyle w:val="48"/>
                    <w:bidi w:val="0"/>
                    <w:rPr>
                      <w:color w:val="auto"/>
                      <w:highlight w:val="none"/>
                    </w:rPr>
                  </w:pPr>
                </w:p>
              </w:tc>
              <w:tc>
                <w:tcPr>
                  <w:tcW w:w="824" w:type="pct"/>
                  <w:tcBorders>
                    <w:tl2br w:val="nil"/>
                    <w:tr2bl w:val="nil"/>
                  </w:tcBorders>
                  <w:shd w:val="clear" w:color="auto" w:fill="auto"/>
                  <w:vAlign w:val="center"/>
                </w:tcPr>
                <w:p w14:paraId="143723AC">
                  <w:pPr>
                    <w:pStyle w:val="48"/>
                    <w:bidi w:val="0"/>
                    <w:rPr>
                      <w:rFonts w:hint="default" w:eastAsia="宋体"/>
                      <w:color w:val="auto"/>
                      <w:highlight w:val="none"/>
                      <w:lang w:val="en-US" w:eastAsia="zh-CN"/>
                    </w:rPr>
                  </w:pPr>
                  <w:r>
                    <w:rPr>
                      <w:rFonts w:hint="eastAsia"/>
                      <w:color w:val="auto"/>
                      <w:highlight w:val="none"/>
                      <w:lang w:val="en-US" w:eastAsia="zh-CN"/>
                    </w:rPr>
                    <w:t>0.02</w:t>
                  </w:r>
                </w:p>
              </w:tc>
              <w:tc>
                <w:tcPr>
                  <w:tcW w:w="2130" w:type="pct"/>
                  <w:vMerge w:val="continue"/>
                  <w:tcBorders>
                    <w:tl2br w:val="nil"/>
                    <w:tr2bl w:val="nil"/>
                  </w:tcBorders>
                  <w:shd w:val="clear" w:color="auto" w:fill="auto"/>
                  <w:vAlign w:val="center"/>
                </w:tcPr>
                <w:p w14:paraId="16FE8A39">
                  <w:pPr>
                    <w:pStyle w:val="48"/>
                    <w:bidi w:val="0"/>
                    <w:rPr>
                      <w:color w:val="auto"/>
                      <w:highlight w:val="none"/>
                    </w:rPr>
                  </w:pPr>
                </w:p>
              </w:tc>
            </w:tr>
          </w:tbl>
          <w:p w14:paraId="7826F1D5">
            <w:pPr>
              <w:pStyle w:val="51"/>
              <w:numPr>
                <w:ilvl w:val="0"/>
                <w:numId w:val="0"/>
              </w:numPr>
              <w:spacing w:before="120"/>
              <w:ind w:leftChars="200"/>
              <w:jc w:val="both"/>
              <w:rPr>
                <w:color w:val="auto"/>
                <w:highlight w:val="none"/>
                <w:lang w:val="zh-CN"/>
              </w:rPr>
            </w:pPr>
          </w:p>
          <w:p w14:paraId="3ED0D463">
            <w:pPr>
              <w:pStyle w:val="51"/>
              <w:spacing w:before="120"/>
              <w:ind w:firstLine="482"/>
              <w:rPr>
                <w:color w:val="auto"/>
                <w:highlight w:val="none"/>
                <w:lang w:val="zh-CN"/>
              </w:rPr>
            </w:pPr>
            <w:r>
              <w:rPr>
                <w:rFonts w:hint="default" w:ascii="Times New Roman" w:hAnsi="Times New Roman" w:cs="Times New Roman"/>
                <w:color w:val="auto"/>
                <w:highlight w:val="none"/>
                <w:lang w:val="en-US" w:eastAsia="zh-CN"/>
              </w:rPr>
              <w:t>厂区内无组织排放标准</w:t>
            </w:r>
          </w:p>
          <w:tbl>
            <w:tblPr>
              <w:tblStyle w:val="33"/>
              <w:tblW w:w="502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324"/>
              <w:gridCol w:w="1988"/>
              <w:gridCol w:w="1584"/>
              <w:gridCol w:w="2598"/>
            </w:tblGrid>
            <w:tr w14:paraId="71B998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9" w:type="pct"/>
                  <w:tcBorders>
                    <w:tl2br w:val="nil"/>
                    <w:tr2bl w:val="nil"/>
                  </w:tcBorders>
                  <w:vAlign w:val="center"/>
                </w:tcPr>
                <w:p w14:paraId="71D16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zh-CN" w:eastAsia="zh-CN" w:bidi="ar-SA"/>
                    </w:rPr>
                    <w:t>污染物项目</w:t>
                  </w:r>
                </w:p>
              </w:tc>
              <w:tc>
                <w:tcPr>
                  <w:tcW w:w="784" w:type="pct"/>
                  <w:tcBorders>
                    <w:tl2br w:val="nil"/>
                    <w:tr2bl w:val="nil"/>
                  </w:tcBorders>
                  <w:vAlign w:val="center"/>
                </w:tcPr>
                <w:p w14:paraId="50E9D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zh-CN" w:eastAsia="zh-CN" w:bidi="ar-SA"/>
                    </w:rPr>
                    <w:t>监控点限值（mg/m</w:t>
                  </w:r>
                  <w:r>
                    <w:rPr>
                      <w:rFonts w:hint="default" w:ascii="Times New Roman" w:hAnsi="Times New Roman" w:eastAsia="宋体" w:cs="Times New Roman"/>
                      <w:b/>
                      <w:bCs/>
                      <w:color w:val="auto"/>
                      <w:kern w:val="0"/>
                      <w:sz w:val="21"/>
                      <w:szCs w:val="24"/>
                      <w:highlight w:val="none"/>
                      <w:vertAlign w:val="superscript"/>
                      <w:lang w:val="zh-CN" w:eastAsia="zh-CN" w:bidi="ar-SA"/>
                    </w:rPr>
                    <w:t>3</w:t>
                  </w:r>
                  <w:r>
                    <w:rPr>
                      <w:rFonts w:hint="default" w:ascii="Times New Roman" w:hAnsi="Times New Roman" w:eastAsia="宋体" w:cs="Times New Roman"/>
                      <w:b/>
                      <w:bCs/>
                      <w:color w:val="auto"/>
                      <w:kern w:val="0"/>
                      <w:sz w:val="21"/>
                      <w:szCs w:val="24"/>
                      <w:highlight w:val="none"/>
                      <w:lang w:val="zh-CN" w:eastAsia="zh-CN" w:bidi="ar-SA"/>
                    </w:rPr>
                    <w:t>）</w:t>
                  </w:r>
                </w:p>
              </w:tc>
              <w:tc>
                <w:tcPr>
                  <w:tcW w:w="1178" w:type="pct"/>
                  <w:tcBorders>
                    <w:tl2br w:val="nil"/>
                    <w:tr2bl w:val="nil"/>
                  </w:tcBorders>
                  <w:vAlign w:val="center"/>
                </w:tcPr>
                <w:p w14:paraId="71A33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zh-CN" w:eastAsia="zh-CN" w:bidi="ar-SA"/>
                    </w:rPr>
                    <w:t>限值含义</w:t>
                  </w:r>
                </w:p>
              </w:tc>
              <w:tc>
                <w:tcPr>
                  <w:tcW w:w="938" w:type="pct"/>
                  <w:tcBorders>
                    <w:tl2br w:val="nil"/>
                    <w:tr2bl w:val="nil"/>
                  </w:tcBorders>
                  <w:vAlign w:val="center"/>
                </w:tcPr>
                <w:p w14:paraId="3AB54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zh-CN" w:eastAsia="zh-CN" w:bidi="ar-SA"/>
                    </w:rPr>
                    <w:t>无组织排放</w:t>
                  </w:r>
                </w:p>
                <w:p w14:paraId="1AF85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en-US" w:eastAsia="zh-CN" w:bidi="ar-SA"/>
                    </w:rPr>
                  </w:pPr>
                  <w:r>
                    <w:rPr>
                      <w:rFonts w:hint="default" w:ascii="Times New Roman" w:hAnsi="Times New Roman" w:eastAsia="宋体" w:cs="Times New Roman"/>
                      <w:b/>
                      <w:bCs/>
                      <w:color w:val="auto"/>
                      <w:kern w:val="0"/>
                      <w:sz w:val="21"/>
                      <w:szCs w:val="24"/>
                      <w:highlight w:val="none"/>
                      <w:lang w:val="zh-CN" w:eastAsia="zh-CN" w:bidi="ar-SA"/>
                    </w:rPr>
                    <w:t>监控</w:t>
                  </w:r>
                  <w:r>
                    <w:rPr>
                      <w:rFonts w:hint="default" w:ascii="Times New Roman" w:hAnsi="Times New Roman" w:eastAsia="宋体" w:cs="Times New Roman"/>
                      <w:b/>
                      <w:bCs/>
                      <w:color w:val="auto"/>
                      <w:kern w:val="0"/>
                      <w:sz w:val="21"/>
                      <w:szCs w:val="24"/>
                      <w:highlight w:val="none"/>
                      <w:lang w:val="en-US" w:eastAsia="zh-CN" w:bidi="ar-SA"/>
                    </w:rPr>
                    <w:t>位置</w:t>
                  </w:r>
                </w:p>
              </w:tc>
              <w:tc>
                <w:tcPr>
                  <w:tcW w:w="1539" w:type="pct"/>
                  <w:tcBorders>
                    <w:tl2br w:val="nil"/>
                    <w:tr2bl w:val="nil"/>
                  </w:tcBorders>
                  <w:vAlign w:val="center"/>
                </w:tcPr>
                <w:p w14:paraId="229BE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en-US" w:eastAsia="zh-CN" w:bidi="ar-SA"/>
                    </w:rPr>
                  </w:pPr>
                  <w:r>
                    <w:rPr>
                      <w:rFonts w:hint="default" w:ascii="Times New Roman" w:hAnsi="Times New Roman" w:eastAsia="宋体" w:cs="Times New Roman"/>
                      <w:b/>
                      <w:bCs/>
                      <w:color w:val="auto"/>
                      <w:kern w:val="0"/>
                      <w:sz w:val="21"/>
                      <w:szCs w:val="24"/>
                      <w:highlight w:val="none"/>
                      <w:lang w:val="en-US" w:eastAsia="zh-CN" w:bidi="ar-SA"/>
                    </w:rPr>
                    <w:t>标准来源</w:t>
                  </w:r>
                </w:p>
              </w:tc>
            </w:tr>
            <w:tr w14:paraId="135CBC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559" w:type="pct"/>
                  <w:vMerge w:val="restart"/>
                  <w:tcBorders>
                    <w:tl2br w:val="nil"/>
                    <w:tr2bl w:val="nil"/>
                  </w:tcBorders>
                  <w:vAlign w:val="center"/>
                </w:tcPr>
                <w:p w14:paraId="6990B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en-US" w:eastAsia="zh-CN" w:bidi="ar-SA"/>
                    </w:rPr>
                    <w:t>非甲烷总烃</w:t>
                  </w:r>
                </w:p>
              </w:tc>
              <w:tc>
                <w:tcPr>
                  <w:tcW w:w="784" w:type="pct"/>
                  <w:tcBorders>
                    <w:tl2br w:val="nil"/>
                    <w:tr2bl w:val="nil"/>
                  </w:tcBorders>
                  <w:vAlign w:val="center"/>
                </w:tcPr>
                <w:p w14:paraId="72A637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zh-CN" w:eastAsia="zh-CN" w:bidi="ar-SA"/>
                    </w:rPr>
                    <w:t>6</w:t>
                  </w:r>
                </w:p>
              </w:tc>
              <w:tc>
                <w:tcPr>
                  <w:tcW w:w="1178" w:type="pct"/>
                  <w:tcBorders>
                    <w:tl2br w:val="nil"/>
                    <w:tr2bl w:val="nil"/>
                  </w:tcBorders>
                  <w:vAlign w:val="center"/>
                </w:tcPr>
                <w:p w14:paraId="5ACCC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zh-CN" w:eastAsia="zh-CN" w:bidi="ar-SA"/>
                    </w:rPr>
                    <w:t>监控点处1h平均浓度值</w:t>
                  </w:r>
                </w:p>
              </w:tc>
              <w:tc>
                <w:tcPr>
                  <w:tcW w:w="938" w:type="pct"/>
                  <w:vMerge w:val="restart"/>
                  <w:tcBorders>
                    <w:tl2br w:val="nil"/>
                    <w:tr2bl w:val="nil"/>
                  </w:tcBorders>
                  <w:vAlign w:val="center"/>
                </w:tcPr>
                <w:p w14:paraId="73790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zh-CN" w:eastAsia="zh-CN" w:bidi="ar-SA"/>
                    </w:rPr>
                    <w:t>在厂房外设置监控点</w:t>
                  </w:r>
                </w:p>
              </w:tc>
              <w:tc>
                <w:tcPr>
                  <w:tcW w:w="1539" w:type="pct"/>
                  <w:vMerge w:val="restart"/>
                  <w:tcBorders>
                    <w:tl2br w:val="nil"/>
                    <w:tr2bl w:val="nil"/>
                  </w:tcBorders>
                  <w:vAlign w:val="center"/>
                </w:tcPr>
                <w:p w14:paraId="340DB1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color w:val="auto"/>
                      <w:sz w:val="21"/>
                      <w:szCs w:val="21"/>
                      <w:highlight w:val="none"/>
                    </w:rPr>
                    <w:t>《大气污染物综合排放标准》（DB32/4041-2021）</w:t>
                  </w:r>
                </w:p>
              </w:tc>
            </w:tr>
            <w:tr w14:paraId="77B75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559" w:type="pct"/>
                  <w:vMerge w:val="continue"/>
                  <w:tcBorders>
                    <w:tl2br w:val="nil"/>
                    <w:tr2bl w:val="nil"/>
                  </w:tcBorders>
                  <w:vAlign w:val="center"/>
                </w:tcPr>
                <w:p w14:paraId="29CCA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p>
              </w:tc>
              <w:tc>
                <w:tcPr>
                  <w:tcW w:w="784" w:type="pct"/>
                  <w:tcBorders>
                    <w:tl2br w:val="nil"/>
                    <w:tr2bl w:val="nil"/>
                  </w:tcBorders>
                  <w:vAlign w:val="center"/>
                </w:tcPr>
                <w:p w14:paraId="4F7BB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zh-CN" w:eastAsia="zh-CN" w:bidi="ar-SA"/>
                    </w:rPr>
                    <w:t>20</w:t>
                  </w:r>
                </w:p>
              </w:tc>
              <w:tc>
                <w:tcPr>
                  <w:tcW w:w="1178" w:type="pct"/>
                  <w:tcBorders>
                    <w:tl2br w:val="nil"/>
                    <w:tr2bl w:val="nil"/>
                  </w:tcBorders>
                  <w:vAlign w:val="center"/>
                </w:tcPr>
                <w:p w14:paraId="5C4C4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zh-CN" w:eastAsia="zh-CN" w:bidi="ar-SA"/>
                    </w:rPr>
                    <w:t>监控点处任意一次浓度值</w:t>
                  </w:r>
                </w:p>
              </w:tc>
              <w:tc>
                <w:tcPr>
                  <w:tcW w:w="938" w:type="pct"/>
                  <w:vMerge w:val="continue"/>
                  <w:tcBorders>
                    <w:tl2br w:val="nil"/>
                    <w:tr2bl w:val="nil"/>
                  </w:tcBorders>
                  <w:vAlign w:val="center"/>
                </w:tcPr>
                <w:p w14:paraId="6AA50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p>
              </w:tc>
              <w:tc>
                <w:tcPr>
                  <w:tcW w:w="1539" w:type="pct"/>
                  <w:vMerge w:val="continue"/>
                  <w:tcBorders>
                    <w:tl2br w:val="nil"/>
                    <w:tr2bl w:val="nil"/>
                  </w:tcBorders>
                  <w:vAlign w:val="center"/>
                </w:tcPr>
                <w:p w14:paraId="02FDC3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p>
              </w:tc>
            </w:tr>
          </w:tbl>
          <w:p w14:paraId="253AB874">
            <w:pPr>
              <w:ind w:firstLine="482"/>
              <w:rPr>
                <w:b/>
                <w:bCs/>
                <w:color w:val="auto"/>
                <w:highlight w:val="none"/>
              </w:rPr>
            </w:pPr>
            <w:r>
              <w:rPr>
                <w:rFonts w:hint="eastAsia"/>
                <w:b/>
                <w:bCs/>
                <w:color w:val="auto"/>
                <w:highlight w:val="none"/>
                <w:lang w:eastAsia="zh-CN"/>
              </w:rPr>
              <w:t>2.</w:t>
            </w:r>
            <w:r>
              <w:rPr>
                <w:b/>
                <w:bCs/>
                <w:color w:val="auto"/>
                <w:highlight w:val="none"/>
              </w:rPr>
              <w:t>废水排放标准</w:t>
            </w:r>
          </w:p>
          <w:p w14:paraId="147F3EFA">
            <w:pPr>
              <w:bidi w:val="0"/>
              <w:rPr>
                <w:rFonts w:hint="eastAsia"/>
                <w:color w:val="auto"/>
                <w:highlight w:val="none"/>
              </w:rPr>
            </w:pPr>
            <w:r>
              <w:rPr>
                <w:rFonts w:hint="eastAsia"/>
                <w:color w:val="auto"/>
                <w:highlight w:val="none"/>
              </w:rPr>
              <w:t>本项目</w:t>
            </w:r>
            <w:r>
              <w:rPr>
                <w:rFonts w:hint="eastAsia" w:ascii="宋体" w:hAnsi="宋体" w:eastAsia="宋体" w:cs="宋体"/>
                <w:color w:val="auto"/>
                <w:sz w:val="24"/>
                <w:highlight w:val="none"/>
              </w:rPr>
              <w:t>生活污水经</w:t>
            </w:r>
            <w:r>
              <w:rPr>
                <w:rFonts w:hint="eastAsia" w:ascii="宋体" w:hAnsi="宋体" w:cs="宋体"/>
                <w:color w:val="auto"/>
                <w:sz w:val="24"/>
                <w:highlight w:val="none"/>
                <w:lang w:val="en-US" w:eastAsia="zh-CN"/>
              </w:rPr>
              <w:t>园区</w:t>
            </w:r>
            <w:r>
              <w:rPr>
                <w:rFonts w:hint="eastAsia" w:ascii="宋体" w:hAnsi="宋体" w:eastAsia="宋体" w:cs="宋体"/>
                <w:color w:val="auto"/>
                <w:sz w:val="24"/>
                <w:highlight w:val="none"/>
              </w:rPr>
              <w:t>化粪池处理</w:t>
            </w:r>
            <w:sdt>
              <w:sdtPr>
                <w:rPr>
                  <w:color w:val="auto"/>
                  <w:highlight w:val="none"/>
                </w:rPr>
                <w:alias w:val="语法错误"/>
                <w:tag w:val="reviewtag_0000FF"/>
                <w:id w:val="3181003"/>
              </w:sdtPr>
              <w:sdtEndPr>
                <w:rPr>
                  <w:color w:val="auto"/>
                  <w:highlight w:val="none"/>
                </w:rPr>
              </w:sdtEndPr>
              <w:sdtContent>
                <w:bookmarkStart w:id="118" w:name="bkReivew3181003"/>
                <w:r>
                  <w:rPr>
                    <w:rFonts w:hint="eastAsia" w:ascii="宋体" w:hAnsi="宋体" w:cs="宋体"/>
                    <w:color w:val="auto"/>
                    <w:sz w:val="24"/>
                    <w:highlight w:val="none"/>
                    <w:lang w:eastAsia="zh-CN"/>
                  </w:rPr>
                  <w:t>，</w:t>
                </w:r>
                <w:bookmarkEnd w:id="118"/>
              </w:sdtContent>
            </w:sdt>
            <w:r>
              <w:rPr>
                <w:rFonts w:hint="eastAsia" w:ascii="宋体" w:hAnsi="宋体" w:cs="宋体"/>
                <w:color w:val="auto"/>
                <w:sz w:val="24"/>
                <w:highlight w:val="none"/>
                <w:lang w:val="en-US" w:eastAsia="zh-CN"/>
              </w:rPr>
              <w:t>接管至空港污水处理厂</w:t>
            </w:r>
            <w:r>
              <w:rPr>
                <w:rFonts w:hint="eastAsia"/>
                <w:color w:val="auto"/>
                <w:highlight w:val="none"/>
                <w:lang w:val="en-US" w:eastAsia="zh-CN"/>
              </w:rPr>
              <w:t>，pH、COD、SS执行</w:t>
            </w:r>
            <w:r>
              <w:rPr>
                <w:rFonts w:hint="eastAsia"/>
                <w:color w:val="auto"/>
                <w:highlight w:val="none"/>
                <w:lang w:val="zh-CN"/>
              </w:rPr>
              <w:t>《污水综合排放标准》（GB8978-1996）表4中三级标准</w:t>
            </w:r>
            <w:r>
              <w:rPr>
                <w:rFonts w:hint="eastAsia"/>
                <w:color w:val="auto"/>
                <w:highlight w:val="none"/>
                <w:lang w:val="en-US" w:eastAsia="zh-CN"/>
              </w:rPr>
              <w:t>及NH</w:t>
            </w:r>
            <w:r>
              <w:rPr>
                <w:rFonts w:hint="eastAsia"/>
                <w:color w:val="auto"/>
                <w:highlight w:val="none"/>
                <w:vertAlign w:val="subscript"/>
                <w:lang w:val="en-US" w:eastAsia="zh-CN"/>
              </w:rPr>
              <w:t>3</w:t>
            </w:r>
            <w:r>
              <w:rPr>
                <w:rFonts w:hint="eastAsia"/>
                <w:color w:val="auto"/>
                <w:highlight w:val="none"/>
                <w:lang w:val="en-US" w:eastAsia="zh-CN"/>
              </w:rPr>
              <w:t>-N、TP、TN执行</w:t>
            </w:r>
            <w:r>
              <w:rPr>
                <w:rFonts w:hint="eastAsia"/>
                <w:color w:val="auto"/>
                <w:highlight w:val="none"/>
                <w:lang w:val="zh-CN"/>
              </w:rPr>
              <w:t>《污水排入城镇下水道水质标准》（GB/T31962-2015）表1中B等级标准</w:t>
            </w:r>
            <w:r>
              <w:rPr>
                <w:rFonts w:hint="eastAsia"/>
                <w:color w:val="auto"/>
                <w:highlight w:val="none"/>
                <w:lang w:val="en-US" w:eastAsia="zh-CN"/>
              </w:rPr>
              <w:t>。空港</w:t>
            </w:r>
            <w:r>
              <w:rPr>
                <w:rFonts w:hint="eastAsia"/>
                <w:color w:val="auto"/>
                <w:highlight w:val="none"/>
                <w:lang w:eastAsia="zh-CN"/>
              </w:rPr>
              <w:t>污水处理厂</w:t>
            </w:r>
            <w:r>
              <w:rPr>
                <w:rFonts w:hint="eastAsia"/>
                <w:color w:val="auto"/>
                <w:highlight w:val="none"/>
              </w:rPr>
              <w:t>尾水</w:t>
            </w:r>
            <w:r>
              <w:rPr>
                <w:color w:val="auto"/>
                <w:highlight w:val="none"/>
              </w:rPr>
              <w:t>主要指标执行</w:t>
            </w:r>
            <w:r>
              <w:rPr>
                <w:bCs/>
                <w:color w:val="auto"/>
                <w:sz w:val="24"/>
                <w:highlight w:val="none"/>
                <w:lang w:val="zh-CN"/>
              </w:rPr>
              <w:t>《城镇污水处理厂污染物排放标准》（</w:t>
            </w:r>
            <w:r>
              <w:rPr>
                <w:rFonts w:hint="eastAsia"/>
                <w:bCs/>
                <w:color w:val="auto"/>
                <w:sz w:val="24"/>
                <w:highlight w:val="none"/>
                <w:lang w:val="zh-CN"/>
              </w:rPr>
              <w:t>DB32/4440—2022</w:t>
            </w:r>
            <w:r>
              <w:rPr>
                <w:bCs/>
                <w:color w:val="auto"/>
                <w:sz w:val="24"/>
                <w:highlight w:val="none"/>
                <w:lang w:val="zh-CN"/>
              </w:rPr>
              <w:t>）表1中</w:t>
            </w:r>
            <w:r>
              <w:rPr>
                <w:rFonts w:hint="eastAsia"/>
                <w:bCs/>
                <w:color w:val="auto"/>
                <w:sz w:val="24"/>
                <w:highlight w:val="none"/>
                <w:lang w:val="en-US" w:eastAsia="zh-CN"/>
              </w:rPr>
              <w:t>C</w:t>
            </w:r>
            <w:r>
              <w:rPr>
                <w:bCs/>
                <w:color w:val="auto"/>
                <w:sz w:val="24"/>
                <w:highlight w:val="none"/>
                <w:lang w:val="zh-CN"/>
              </w:rPr>
              <w:t>标准</w:t>
            </w:r>
            <w:r>
              <w:rPr>
                <w:rFonts w:hint="eastAsia"/>
                <w:bCs/>
                <w:color w:val="auto"/>
                <w:sz w:val="24"/>
                <w:highlight w:val="none"/>
                <w:lang w:val="zh-CN"/>
              </w:rPr>
              <w:t>、</w:t>
            </w:r>
            <w:r>
              <w:rPr>
                <w:rFonts w:hint="eastAsia"/>
                <w:bCs/>
                <w:color w:val="auto"/>
                <w:sz w:val="24"/>
                <w:highlight w:val="none"/>
                <w:lang w:val="en-US" w:eastAsia="zh-CN"/>
              </w:rPr>
              <w:t>表4标准</w:t>
            </w:r>
            <w:r>
              <w:rPr>
                <w:rFonts w:hint="eastAsia"/>
                <w:color w:val="auto"/>
                <w:highlight w:val="none"/>
                <w:lang w:val="en-US" w:eastAsia="zh-CN"/>
              </w:rPr>
              <w:t>后</w:t>
            </w:r>
            <w:r>
              <w:rPr>
                <w:rFonts w:hint="eastAsia"/>
                <w:color w:val="auto"/>
                <w:highlight w:val="none"/>
              </w:rPr>
              <w:t>排放至</w:t>
            </w:r>
            <w:r>
              <w:rPr>
                <w:rFonts w:hint="eastAsia"/>
                <w:color w:val="auto"/>
                <w:highlight w:val="none"/>
                <w:lang w:val="en-US" w:eastAsia="zh-CN"/>
              </w:rPr>
              <w:t>云台山河</w:t>
            </w:r>
            <w:r>
              <w:rPr>
                <w:rFonts w:hint="eastAsia"/>
                <w:color w:val="auto"/>
                <w:highlight w:val="none"/>
              </w:rPr>
              <w:t>。</w:t>
            </w:r>
          </w:p>
          <w:p w14:paraId="58C30EBC">
            <w:pPr>
              <w:bidi w:val="0"/>
              <w:rPr>
                <w:color w:val="auto"/>
                <w:highlight w:val="none"/>
              </w:rPr>
            </w:pPr>
            <w:r>
              <w:rPr>
                <w:rFonts w:hint="eastAsia"/>
                <w:color w:val="auto"/>
                <w:highlight w:val="none"/>
                <w:lang w:val="en-US" w:eastAsia="zh-CN"/>
              </w:rPr>
              <w:t>本项目接管标准及空港</w:t>
            </w:r>
            <w:r>
              <w:rPr>
                <w:rFonts w:hint="eastAsia"/>
                <w:color w:val="auto"/>
                <w:highlight w:val="none"/>
                <w:lang w:eastAsia="zh-CN"/>
              </w:rPr>
              <w:t>污水处理厂</w:t>
            </w:r>
            <w:r>
              <w:rPr>
                <w:rFonts w:hint="eastAsia"/>
                <w:color w:val="auto"/>
                <w:highlight w:val="none"/>
                <w:lang w:val="en-US" w:eastAsia="zh-CN"/>
              </w:rPr>
              <w:t>尾水排放标准</w:t>
            </w:r>
            <w:r>
              <w:rPr>
                <w:color w:val="auto"/>
                <w:highlight w:val="none"/>
              </w:rPr>
              <w:t>具体见</w:t>
            </w:r>
            <w:r>
              <w:rPr>
                <w:rFonts w:hint="eastAsia"/>
                <w:color w:val="auto"/>
                <w:highlight w:val="none"/>
                <w:lang w:val="en-US" w:eastAsia="zh-CN"/>
              </w:rPr>
              <w:t>下</w:t>
            </w:r>
            <w:r>
              <w:rPr>
                <w:color w:val="auto"/>
                <w:highlight w:val="none"/>
              </w:rPr>
              <w:t>表。</w:t>
            </w:r>
          </w:p>
          <w:p w14:paraId="5B25FD40">
            <w:pPr>
              <w:pStyle w:val="51"/>
              <w:spacing w:before="120"/>
              <w:ind w:firstLine="482"/>
              <w:rPr>
                <w:color w:val="auto"/>
                <w:highlight w:val="none"/>
              </w:rPr>
            </w:pPr>
            <w:r>
              <w:rPr>
                <w:color w:val="auto"/>
                <w:highlight w:val="none"/>
              </w:rPr>
              <w:t xml:space="preserve">废水排放标准限值 </w:t>
            </w:r>
            <w:r>
              <w:rPr>
                <w:rFonts w:hint="eastAsia"/>
                <w:color w:val="auto"/>
                <w:highlight w:val="none"/>
              </w:rPr>
              <w:t xml:space="preserve"> </w:t>
            </w:r>
            <w:r>
              <w:rPr>
                <w:color w:val="auto"/>
                <w:highlight w:val="none"/>
              </w:rPr>
              <w:t>单位：mg/L</w:t>
            </w:r>
            <w:r>
              <w:rPr>
                <w:rFonts w:hint="eastAsia"/>
                <w:color w:val="auto"/>
                <w:highlight w:val="none"/>
              </w:rPr>
              <w:t xml:space="preserve"> </w:t>
            </w:r>
            <w:r>
              <w:rPr>
                <w:color w:val="auto"/>
                <w:highlight w:val="none"/>
              </w:rPr>
              <w:t>pH无量纲</w:t>
            </w:r>
          </w:p>
          <w:tbl>
            <w:tblPr>
              <w:tblStyle w:val="3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155"/>
              <w:gridCol w:w="2708"/>
              <w:gridCol w:w="3802"/>
            </w:tblGrid>
            <w:tr w14:paraId="41856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 w:type="pct"/>
                  <w:tcBorders>
                    <w:tl2br w:val="nil"/>
                    <w:tr2bl w:val="nil"/>
                  </w:tcBorders>
                  <w:vAlign w:val="center"/>
                </w:tcPr>
                <w:p w14:paraId="579B58C9">
                  <w:pPr>
                    <w:pStyle w:val="48"/>
                    <w:bidi w:val="0"/>
                    <w:rPr>
                      <w:b/>
                      <w:bCs/>
                      <w:color w:val="auto"/>
                      <w:highlight w:val="none"/>
                    </w:rPr>
                  </w:pPr>
                  <w:r>
                    <w:rPr>
                      <w:rFonts w:hint="eastAsia"/>
                      <w:b/>
                      <w:bCs/>
                      <w:color w:val="auto"/>
                      <w:highlight w:val="none"/>
                    </w:rPr>
                    <w:t>序号</w:t>
                  </w:r>
                </w:p>
              </w:tc>
              <w:tc>
                <w:tcPr>
                  <w:tcW w:w="688" w:type="pct"/>
                  <w:tcBorders>
                    <w:tl2br w:val="nil"/>
                    <w:tr2bl w:val="nil"/>
                  </w:tcBorders>
                  <w:vAlign w:val="center"/>
                </w:tcPr>
                <w:p w14:paraId="23AEB5A1">
                  <w:pPr>
                    <w:pStyle w:val="48"/>
                    <w:bidi w:val="0"/>
                    <w:rPr>
                      <w:b/>
                      <w:bCs/>
                      <w:color w:val="auto"/>
                      <w:highlight w:val="none"/>
                    </w:rPr>
                  </w:pPr>
                  <w:r>
                    <w:rPr>
                      <w:rFonts w:hint="eastAsia"/>
                      <w:b/>
                      <w:bCs/>
                      <w:color w:val="auto"/>
                      <w:highlight w:val="none"/>
                    </w:rPr>
                    <w:t>污染物</w:t>
                  </w:r>
                </w:p>
              </w:tc>
              <w:tc>
                <w:tcPr>
                  <w:tcW w:w="1613" w:type="pct"/>
                  <w:tcBorders>
                    <w:tl2br w:val="nil"/>
                    <w:tr2bl w:val="nil"/>
                  </w:tcBorders>
                  <w:vAlign w:val="center"/>
                </w:tcPr>
                <w:p w14:paraId="11B7D57F">
                  <w:pPr>
                    <w:pStyle w:val="48"/>
                    <w:bidi w:val="0"/>
                    <w:rPr>
                      <w:rFonts w:hint="eastAsia" w:eastAsia="宋体"/>
                      <w:b/>
                      <w:bCs/>
                      <w:color w:val="auto"/>
                      <w:highlight w:val="none"/>
                      <w:lang w:val="en-US" w:eastAsia="zh-CN"/>
                    </w:rPr>
                  </w:pPr>
                  <w:r>
                    <w:rPr>
                      <w:rFonts w:hint="eastAsia"/>
                      <w:b/>
                      <w:bCs/>
                      <w:color w:val="auto"/>
                      <w:highlight w:val="none"/>
                      <w:lang w:val="en-US" w:eastAsia="zh-CN"/>
                    </w:rPr>
                    <w:t>接管标准</w:t>
                  </w:r>
                </w:p>
              </w:tc>
              <w:tc>
                <w:tcPr>
                  <w:tcW w:w="2265" w:type="pct"/>
                  <w:tcBorders>
                    <w:tl2br w:val="nil"/>
                    <w:tr2bl w:val="nil"/>
                  </w:tcBorders>
                  <w:vAlign w:val="center"/>
                </w:tcPr>
                <w:p w14:paraId="5E4B2267">
                  <w:pPr>
                    <w:pStyle w:val="48"/>
                    <w:bidi w:val="0"/>
                    <w:rPr>
                      <w:rFonts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污水处理厂排放标准</w:t>
                  </w:r>
                </w:p>
              </w:tc>
            </w:tr>
            <w:tr w14:paraId="5362CA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32" w:type="pct"/>
                  <w:tcBorders>
                    <w:tl2br w:val="nil"/>
                    <w:tr2bl w:val="nil"/>
                  </w:tcBorders>
                  <w:vAlign w:val="center"/>
                </w:tcPr>
                <w:p w14:paraId="09D1EDDC">
                  <w:pPr>
                    <w:pStyle w:val="48"/>
                    <w:numPr>
                      <w:ilvl w:val="0"/>
                      <w:numId w:val="19"/>
                    </w:numPr>
                    <w:tabs>
                      <w:tab w:val="left" w:pos="0"/>
                    </w:tabs>
                    <w:ind w:left="425" w:leftChars="0" w:hanging="425" w:firstLineChars="0"/>
                    <w:rPr>
                      <w:color w:val="auto"/>
                      <w:highlight w:val="none"/>
                    </w:rPr>
                  </w:pPr>
                </w:p>
              </w:tc>
              <w:tc>
                <w:tcPr>
                  <w:tcW w:w="688" w:type="pct"/>
                  <w:tcBorders>
                    <w:tl2br w:val="nil"/>
                    <w:tr2bl w:val="nil"/>
                  </w:tcBorders>
                  <w:vAlign w:val="center"/>
                </w:tcPr>
                <w:p w14:paraId="64757268">
                  <w:pPr>
                    <w:pStyle w:val="48"/>
                    <w:tabs>
                      <w:tab w:val="left" w:pos="0"/>
                    </w:tabs>
                    <w:rPr>
                      <w:color w:val="auto"/>
                      <w:highlight w:val="none"/>
                    </w:rPr>
                  </w:pPr>
                  <w:r>
                    <w:rPr>
                      <w:color w:val="auto"/>
                      <w:highlight w:val="none"/>
                    </w:rPr>
                    <w:t>pH</w:t>
                  </w:r>
                </w:p>
              </w:tc>
              <w:tc>
                <w:tcPr>
                  <w:tcW w:w="1613" w:type="pct"/>
                  <w:tcBorders>
                    <w:tl2br w:val="nil"/>
                    <w:tr2bl w:val="nil"/>
                  </w:tcBorders>
                  <w:vAlign w:val="center"/>
                </w:tcPr>
                <w:p w14:paraId="0BB7D0E0">
                  <w:pPr>
                    <w:pStyle w:val="48"/>
                    <w:tabs>
                      <w:tab w:val="left" w:pos="0"/>
                    </w:tabs>
                    <w:rPr>
                      <w:color w:val="auto"/>
                      <w:highlight w:val="none"/>
                    </w:rPr>
                  </w:pPr>
                  <w:r>
                    <w:rPr>
                      <w:color w:val="auto"/>
                      <w:highlight w:val="none"/>
                    </w:rPr>
                    <w:t>6~9</w:t>
                  </w:r>
                </w:p>
              </w:tc>
              <w:tc>
                <w:tcPr>
                  <w:tcW w:w="2265" w:type="pct"/>
                  <w:tcBorders>
                    <w:tl2br w:val="nil"/>
                    <w:tr2bl w:val="nil"/>
                  </w:tcBorders>
                  <w:vAlign w:val="center"/>
                </w:tcPr>
                <w:p w14:paraId="1B51A137">
                  <w:pPr>
                    <w:pStyle w:val="48"/>
                    <w:tabs>
                      <w:tab w:val="left" w:pos="0"/>
                    </w:tabs>
                    <w:rPr>
                      <w:color w:val="auto"/>
                      <w:highlight w:val="none"/>
                    </w:rPr>
                  </w:pPr>
                  <w:r>
                    <w:rPr>
                      <w:color w:val="auto"/>
                      <w:highlight w:val="none"/>
                    </w:rPr>
                    <w:t>6-9</w:t>
                  </w:r>
                </w:p>
              </w:tc>
            </w:tr>
            <w:tr w14:paraId="0BD96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32" w:type="pct"/>
                  <w:tcBorders>
                    <w:tl2br w:val="nil"/>
                    <w:tr2bl w:val="nil"/>
                  </w:tcBorders>
                  <w:vAlign w:val="center"/>
                </w:tcPr>
                <w:p w14:paraId="1C30A608">
                  <w:pPr>
                    <w:pStyle w:val="48"/>
                    <w:numPr>
                      <w:ilvl w:val="0"/>
                      <w:numId w:val="19"/>
                    </w:numPr>
                    <w:tabs>
                      <w:tab w:val="left" w:pos="0"/>
                    </w:tabs>
                    <w:ind w:left="425" w:leftChars="0" w:hanging="425" w:firstLineChars="0"/>
                    <w:rPr>
                      <w:color w:val="auto"/>
                      <w:highlight w:val="none"/>
                    </w:rPr>
                  </w:pPr>
                </w:p>
              </w:tc>
              <w:tc>
                <w:tcPr>
                  <w:tcW w:w="688" w:type="pct"/>
                  <w:tcBorders>
                    <w:tl2br w:val="nil"/>
                    <w:tr2bl w:val="nil"/>
                  </w:tcBorders>
                  <w:vAlign w:val="center"/>
                </w:tcPr>
                <w:p w14:paraId="5DDABED1">
                  <w:pPr>
                    <w:pStyle w:val="48"/>
                    <w:tabs>
                      <w:tab w:val="left" w:pos="0"/>
                    </w:tabs>
                    <w:rPr>
                      <w:color w:val="auto"/>
                      <w:highlight w:val="none"/>
                    </w:rPr>
                  </w:pPr>
                  <w:r>
                    <w:rPr>
                      <w:color w:val="auto"/>
                      <w:highlight w:val="none"/>
                    </w:rPr>
                    <w:t>COD</w:t>
                  </w:r>
                </w:p>
              </w:tc>
              <w:tc>
                <w:tcPr>
                  <w:tcW w:w="1613" w:type="pct"/>
                  <w:tcBorders>
                    <w:tl2br w:val="nil"/>
                    <w:tr2bl w:val="nil"/>
                  </w:tcBorders>
                  <w:vAlign w:val="center"/>
                </w:tcPr>
                <w:p w14:paraId="35A94322">
                  <w:pPr>
                    <w:pStyle w:val="48"/>
                    <w:tabs>
                      <w:tab w:val="left" w:pos="0"/>
                    </w:tabs>
                    <w:rPr>
                      <w:color w:val="auto"/>
                      <w:highlight w:val="none"/>
                    </w:rPr>
                  </w:pPr>
                  <w:r>
                    <w:rPr>
                      <w:rFonts w:hint="eastAsia"/>
                      <w:color w:val="auto"/>
                      <w:highlight w:val="none"/>
                    </w:rPr>
                    <w:t>500</w:t>
                  </w:r>
                </w:p>
              </w:tc>
              <w:tc>
                <w:tcPr>
                  <w:tcW w:w="2265" w:type="pct"/>
                  <w:tcBorders>
                    <w:tl2br w:val="nil"/>
                    <w:tr2bl w:val="nil"/>
                  </w:tcBorders>
                  <w:vAlign w:val="center"/>
                </w:tcPr>
                <w:p w14:paraId="5033D226">
                  <w:pPr>
                    <w:pStyle w:val="48"/>
                    <w:tabs>
                      <w:tab w:val="left" w:pos="0"/>
                    </w:tabs>
                    <w:rPr>
                      <w:rFonts w:hint="default" w:eastAsia="宋体"/>
                      <w:color w:val="auto"/>
                      <w:highlight w:val="none"/>
                      <w:lang w:val="en-US" w:eastAsia="zh-CN"/>
                    </w:rPr>
                  </w:pPr>
                  <w:r>
                    <w:rPr>
                      <w:rFonts w:hint="eastAsia"/>
                      <w:color w:val="auto"/>
                      <w:highlight w:val="none"/>
                      <w:lang w:val="en-US" w:eastAsia="zh-CN"/>
                    </w:rPr>
                    <w:t>50</w:t>
                  </w:r>
                </w:p>
              </w:tc>
            </w:tr>
            <w:tr w14:paraId="091EB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 w:type="pct"/>
                  <w:tcBorders>
                    <w:tl2br w:val="nil"/>
                    <w:tr2bl w:val="nil"/>
                  </w:tcBorders>
                  <w:vAlign w:val="center"/>
                </w:tcPr>
                <w:p w14:paraId="3A0A97BF">
                  <w:pPr>
                    <w:pStyle w:val="48"/>
                    <w:numPr>
                      <w:ilvl w:val="0"/>
                      <w:numId w:val="19"/>
                    </w:numPr>
                    <w:tabs>
                      <w:tab w:val="left" w:pos="0"/>
                    </w:tabs>
                    <w:ind w:left="425" w:leftChars="0" w:hanging="425" w:firstLineChars="0"/>
                    <w:rPr>
                      <w:color w:val="auto"/>
                      <w:highlight w:val="none"/>
                    </w:rPr>
                  </w:pPr>
                </w:p>
              </w:tc>
              <w:tc>
                <w:tcPr>
                  <w:tcW w:w="688" w:type="pct"/>
                  <w:tcBorders>
                    <w:tl2br w:val="nil"/>
                    <w:tr2bl w:val="nil"/>
                  </w:tcBorders>
                  <w:vAlign w:val="center"/>
                </w:tcPr>
                <w:p w14:paraId="5F29E007">
                  <w:pPr>
                    <w:pStyle w:val="48"/>
                    <w:tabs>
                      <w:tab w:val="left" w:pos="0"/>
                    </w:tabs>
                    <w:rPr>
                      <w:color w:val="auto"/>
                      <w:highlight w:val="none"/>
                    </w:rPr>
                  </w:pPr>
                  <w:r>
                    <w:rPr>
                      <w:color w:val="auto"/>
                      <w:highlight w:val="none"/>
                    </w:rPr>
                    <w:t>SS</w:t>
                  </w:r>
                </w:p>
              </w:tc>
              <w:tc>
                <w:tcPr>
                  <w:tcW w:w="1613" w:type="pct"/>
                  <w:tcBorders>
                    <w:tl2br w:val="nil"/>
                    <w:tr2bl w:val="nil"/>
                  </w:tcBorders>
                  <w:vAlign w:val="center"/>
                </w:tcPr>
                <w:p w14:paraId="248CA794">
                  <w:pPr>
                    <w:pStyle w:val="48"/>
                    <w:tabs>
                      <w:tab w:val="left" w:pos="0"/>
                    </w:tabs>
                    <w:rPr>
                      <w:color w:val="auto"/>
                      <w:highlight w:val="none"/>
                    </w:rPr>
                  </w:pPr>
                  <w:r>
                    <w:rPr>
                      <w:rFonts w:hint="eastAsia"/>
                      <w:color w:val="auto"/>
                      <w:highlight w:val="none"/>
                    </w:rPr>
                    <w:t>400</w:t>
                  </w:r>
                </w:p>
              </w:tc>
              <w:tc>
                <w:tcPr>
                  <w:tcW w:w="2265" w:type="pct"/>
                  <w:tcBorders>
                    <w:tl2br w:val="nil"/>
                    <w:tr2bl w:val="nil"/>
                  </w:tcBorders>
                  <w:vAlign w:val="center"/>
                </w:tcPr>
                <w:p w14:paraId="2D07C9F5">
                  <w:pPr>
                    <w:pStyle w:val="48"/>
                    <w:tabs>
                      <w:tab w:val="left" w:pos="0"/>
                    </w:tabs>
                    <w:rPr>
                      <w:rFonts w:hint="default" w:eastAsia="宋体"/>
                      <w:color w:val="auto"/>
                      <w:highlight w:val="none"/>
                      <w:lang w:val="en-US" w:eastAsia="zh-CN"/>
                    </w:rPr>
                  </w:pPr>
                  <w:r>
                    <w:rPr>
                      <w:rFonts w:hint="eastAsia"/>
                      <w:color w:val="auto"/>
                      <w:highlight w:val="none"/>
                      <w:lang w:val="en-US" w:eastAsia="zh-CN"/>
                    </w:rPr>
                    <w:t>10</w:t>
                  </w:r>
                </w:p>
              </w:tc>
            </w:tr>
            <w:tr w14:paraId="1A00D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32" w:type="pct"/>
                  <w:tcBorders>
                    <w:tl2br w:val="nil"/>
                    <w:tr2bl w:val="nil"/>
                  </w:tcBorders>
                  <w:vAlign w:val="center"/>
                </w:tcPr>
                <w:p w14:paraId="6BCBEC88">
                  <w:pPr>
                    <w:pStyle w:val="48"/>
                    <w:numPr>
                      <w:ilvl w:val="0"/>
                      <w:numId w:val="19"/>
                    </w:numPr>
                    <w:tabs>
                      <w:tab w:val="left" w:pos="0"/>
                    </w:tabs>
                    <w:ind w:left="425" w:leftChars="0" w:hanging="425" w:firstLineChars="0"/>
                    <w:rPr>
                      <w:color w:val="auto"/>
                      <w:highlight w:val="none"/>
                    </w:rPr>
                  </w:pPr>
                </w:p>
              </w:tc>
              <w:tc>
                <w:tcPr>
                  <w:tcW w:w="688" w:type="pct"/>
                  <w:tcBorders>
                    <w:tl2br w:val="nil"/>
                    <w:tr2bl w:val="nil"/>
                  </w:tcBorders>
                  <w:vAlign w:val="center"/>
                </w:tcPr>
                <w:p w14:paraId="43F2E702">
                  <w:pPr>
                    <w:pStyle w:val="48"/>
                    <w:tabs>
                      <w:tab w:val="left" w:pos="0"/>
                    </w:tabs>
                    <w:rPr>
                      <w:color w:val="auto"/>
                      <w:highlight w:val="none"/>
                    </w:rPr>
                  </w:pPr>
                  <w:r>
                    <w:rPr>
                      <w:color w:val="auto"/>
                      <w:highlight w:val="none"/>
                    </w:rPr>
                    <w:t>NH</w:t>
                  </w:r>
                  <w:r>
                    <w:rPr>
                      <w:color w:val="auto"/>
                      <w:highlight w:val="none"/>
                      <w:vertAlign w:val="subscript"/>
                    </w:rPr>
                    <w:t>3</w:t>
                  </w:r>
                  <w:r>
                    <w:rPr>
                      <w:color w:val="auto"/>
                      <w:highlight w:val="none"/>
                    </w:rPr>
                    <w:t>-N</w:t>
                  </w:r>
                </w:p>
              </w:tc>
              <w:tc>
                <w:tcPr>
                  <w:tcW w:w="1613" w:type="pct"/>
                  <w:tcBorders>
                    <w:tl2br w:val="nil"/>
                    <w:tr2bl w:val="nil"/>
                  </w:tcBorders>
                  <w:vAlign w:val="center"/>
                </w:tcPr>
                <w:p w14:paraId="2A2BF22C">
                  <w:pPr>
                    <w:pStyle w:val="48"/>
                    <w:tabs>
                      <w:tab w:val="left" w:pos="0"/>
                    </w:tabs>
                    <w:rPr>
                      <w:color w:val="auto"/>
                      <w:highlight w:val="none"/>
                    </w:rPr>
                  </w:pPr>
                  <w:r>
                    <w:rPr>
                      <w:rFonts w:hint="eastAsia"/>
                      <w:color w:val="auto"/>
                      <w:highlight w:val="none"/>
                    </w:rPr>
                    <w:t>45</w:t>
                  </w:r>
                  <w:r>
                    <w:rPr>
                      <w:rFonts w:hint="default" w:ascii="Calibri" w:hAnsi="Calibri" w:cs="Calibri"/>
                      <w:color w:val="auto"/>
                      <w:highlight w:val="none"/>
                      <w:vertAlign w:val="superscript"/>
                    </w:rPr>
                    <w:t>①</w:t>
                  </w:r>
                </w:p>
              </w:tc>
              <w:tc>
                <w:tcPr>
                  <w:tcW w:w="2265" w:type="pct"/>
                  <w:tcBorders>
                    <w:tl2br w:val="nil"/>
                    <w:tr2bl w:val="nil"/>
                  </w:tcBorders>
                  <w:vAlign w:val="center"/>
                </w:tcPr>
                <w:p w14:paraId="5F81684C">
                  <w:pPr>
                    <w:pStyle w:val="48"/>
                    <w:tabs>
                      <w:tab w:val="left" w:pos="0"/>
                    </w:tabs>
                    <w:rPr>
                      <w:color w:val="auto"/>
                      <w:highlight w:val="none"/>
                    </w:rPr>
                  </w:pPr>
                  <w:r>
                    <w:rPr>
                      <w:rFonts w:hint="eastAsia"/>
                      <w:color w:val="auto"/>
                      <w:highlight w:val="none"/>
                      <w:lang w:val="en-US" w:eastAsia="zh-CN"/>
                    </w:rPr>
                    <w:t>4（6）</w:t>
                  </w:r>
                  <w:r>
                    <w:rPr>
                      <w:rFonts w:hint="default" w:ascii="Calibri" w:hAnsi="Calibri" w:cs="Calibri"/>
                      <w:color w:val="auto"/>
                      <w:highlight w:val="none"/>
                      <w:vertAlign w:val="superscript"/>
                    </w:rPr>
                    <w:t>②</w:t>
                  </w:r>
                </w:p>
              </w:tc>
            </w:tr>
            <w:tr w14:paraId="551DD4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32" w:type="pct"/>
                  <w:tcBorders>
                    <w:tl2br w:val="nil"/>
                    <w:tr2bl w:val="nil"/>
                  </w:tcBorders>
                  <w:vAlign w:val="center"/>
                </w:tcPr>
                <w:p w14:paraId="17301589">
                  <w:pPr>
                    <w:pStyle w:val="48"/>
                    <w:numPr>
                      <w:ilvl w:val="0"/>
                      <w:numId w:val="19"/>
                    </w:numPr>
                    <w:tabs>
                      <w:tab w:val="left" w:pos="0"/>
                    </w:tabs>
                    <w:ind w:left="425" w:leftChars="0" w:hanging="425" w:firstLineChars="0"/>
                    <w:rPr>
                      <w:color w:val="auto"/>
                      <w:highlight w:val="none"/>
                    </w:rPr>
                  </w:pPr>
                </w:p>
              </w:tc>
              <w:tc>
                <w:tcPr>
                  <w:tcW w:w="688" w:type="pct"/>
                  <w:tcBorders>
                    <w:tl2br w:val="nil"/>
                    <w:tr2bl w:val="nil"/>
                  </w:tcBorders>
                  <w:vAlign w:val="center"/>
                </w:tcPr>
                <w:p w14:paraId="1C30D372">
                  <w:pPr>
                    <w:pStyle w:val="48"/>
                    <w:tabs>
                      <w:tab w:val="left" w:pos="0"/>
                    </w:tabs>
                    <w:rPr>
                      <w:color w:val="auto"/>
                      <w:highlight w:val="none"/>
                    </w:rPr>
                  </w:pPr>
                  <w:r>
                    <w:rPr>
                      <w:rFonts w:hint="eastAsia"/>
                      <w:color w:val="auto"/>
                      <w:highlight w:val="none"/>
                    </w:rPr>
                    <w:t>TP</w:t>
                  </w:r>
                </w:p>
              </w:tc>
              <w:tc>
                <w:tcPr>
                  <w:tcW w:w="1613" w:type="pct"/>
                  <w:tcBorders>
                    <w:tl2br w:val="nil"/>
                    <w:tr2bl w:val="nil"/>
                  </w:tcBorders>
                  <w:vAlign w:val="center"/>
                </w:tcPr>
                <w:p w14:paraId="4220EB23">
                  <w:pPr>
                    <w:pStyle w:val="48"/>
                    <w:tabs>
                      <w:tab w:val="left" w:pos="0"/>
                    </w:tabs>
                    <w:rPr>
                      <w:color w:val="auto"/>
                      <w:highlight w:val="none"/>
                    </w:rPr>
                  </w:pPr>
                  <w:r>
                    <w:rPr>
                      <w:rFonts w:hint="eastAsia"/>
                      <w:color w:val="auto"/>
                      <w:highlight w:val="none"/>
                    </w:rPr>
                    <w:t>8</w:t>
                  </w:r>
                  <w:r>
                    <w:rPr>
                      <w:rFonts w:hint="default" w:ascii="Calibri" w:hAnsi="Calibri" w:cs="Calibri"/>
                      <w:color w:val="auto"/>
                      <w:highlight w:val="none"/>
                      <w:vertAlign w:val="superscript"/>
                    </w:rPr>
                    <w:t>①</w:t>
                  </w:r>
                </w:p>
              </w:tc>
              <w:tc>
                <w:tcPr>
                  <w:tcW w:w="2265" w:type="pct"/>
                  <w:tcBorders>
                    <w:tl2br w:val="nil"/>
                    <w:tr2bl w:val="nil"/>
                  </w:tcBorders>
                  <w:vAlign w:val="center"/>
                </w:tcPr>
                <w:p w14:paraId="1AE1E659">
                  <w:pPr>
                    <w:pStyle w:val="48"/>
                    <w:tabs>
                      <w:tab w:val="left" w:pos="0"/>
                    </w:tabs>
                    <w:rPr>
                      <w:rFonts w:hint="eastAsia" w:eastAsia="宋体"/>
                      <w:color w:val="auto"/>
                      <w:highlight w:val="none"/>
                      <w:lang w:val="en-US" w:eastAsia="zh-CN"/>
                    </w:rPr>
                  </w:pPr>
                  <w:r>
                    <w:rPr>
                      <w:rFonts w:hint="eastAsia"/>
                      <w:color w:val="auto"/>
                      <w:highlight w:val="none"/>
                    </w:rPr>
                    <w:t>0.</w:t>
                  </w:r>
                  <w:r>
                    <w:rPr>
                      <w:rFonts w:hint="eastAsia"/>
                      <w:color w:val="auto"/>
                      <w:highlight w:val="none"/>
                      <w:lang w:val="en-US" w:eastAsia="zh-CN"/>
                    </w:rPr>
                    <w:t>5</w:t>
                  </w:r>
                </w:p>
              </w:tc>
            </w:tr>
            <w:tr w14:paraId="4FE742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32" w:type="pct"/>
                  <w:tcBorders>
                    <w:tl2br w:val="nil"/>
                    <w:tr2bl w:val="nil"/>
                  </w:tcBorders>
                  <w:shd w:val="clear" w:color="auto" w:fill="auto"/>
                  <w:vAlign w:val="center"/>
                </w:tcPr>
                <w:p w14:paraId="74B9FBCF">
                  <w:pPr>
                    <w:pStyle w:val="48"/>
                    <w:numPr>
                      <w:ilvl w:val="0"/>
                      <w:numId w:val="19"/>
                    </w:numPr>
                    <w:tabs>
                      <w:tab w:val="left" w:pos="0"/>
                    </w:tabs>
                    <w:ind w:left="425" w:leftChars="0" w:hanging="425" w:firstLineChars="0"/>
                    <w:rPr>
                      <w:rFonts w:hint="eastAsia" w:ascii="Times New Roman" w:hAnsi="Times New Roman" w:eastAsia="宋体" w:cs="Times New Roman"/>
                      <w:color w:val="auto"/>
                      <w:kern w:val="0"/>
                      <w:sz w:val="21"/>
                      <w:szCs w:val="24"/>
                      <w:highlight w:val="none"/>
                      <w:lang w:val="en-US" w:eastAsia="zh-CN" w:bidi="ar-SA"/>
                    </w:rPr>
                  </w:pPr>
                </w:p>
              </w:tc>
              <w:tc>
                <w:tcPr>
                  <w:tcW w:w="688" w:type="pct"/>
                  <w:tcBorders>
                    <w:tl2br w:val="nil"/>
                    <w:tr2bl w:val="nil"/>
                  </w:tcBorders>
                  <w:vAlign w:val="center"/>
                </w:tcPr>
                <w:p w14:paraId="27FD69FE">
                  <w:pPr>
                    <w:pStyle w:val="48"/>
                    <w:tabs>
                      <w:tab w:val="left" w:pos="0"/>
                    </w:tabs>
                    <w:rPr>
                      <w:rFonts w:hint="default" w:eastAsia="宋体"/>
                      <w:color w:val="auto"/>
                      <w:highlight w:val="none"/>
                      <w:lang w:val="en-US" w:eastAsia="zh-CN"/>
                    </w:rPr>
                  </w:pPr>
                  <w:r>
                    <w:rPr>
                      <w:rFonts w:hint="eastAsia"/>
                      <w:color w:val="auto"/>
                      <w:highlight w:val="none"/>
                      <w:lang w:val="en-US" w:eastAsia="zh-CN"/>
                    </w:rPr>
                    <w:t>TN</w:t>
                  </w:r>
                </w:p>
              </w:tc>
              <w:tc>
                <w:tcPr>
                  <w:tcW w:w="1613" w:type="pct"/>
                  <w:tcBorders>
                    <w:tl2br w:val="nil"/>
                    <w:tr2bl w:val="nil"/>
                  </w:tcBorders>
                  <w:vAlign w:val="center"/>
                </w:tcPr>
                <w:p w14:paraId="74ADEA3D">
                  <w:pPr>
                    <w:pStyle w:val="48"/>
                    <w:tabs>
                      <w:tab w:val="left" w:pos="0"/>
                    </w:tabs>
                    <w:rPr>
                      <w:rFonts w:hint="default" w:eastAsia="宋体"/>
                      <w:color w:val="auto"/>
                      <w:highlight w:val="none"/>
                      <w:lang w:val="en-US" w:eastAsia="zh-CN"/>
                    </w:rPr>
                  </w:pPr>
                  <w:r>
                    <w:rPr>
                      <w:rFonts w:hint="eastAsia"/>
                      <w:color w:val="auto"/>
                      <w:highlight w:val="none"/>
                      <w:lang w:val="en-US" w:eastAsia="zh-CN"/>
                    </w:rPr>
                    <w:t>70</w:t>
                  </w:r>
                  <w:r>
                    <w:rPr>
                      <w:rFonts w:hint="default" w:ascii="Calibri" w:hAnsi="Calibri" w:cs="Calibri"/>
                      <w:color w:val="auto"/>
                      <w:highlight w:val="none"/>
                      <w:vertAlign w:val="superscript"/>
                    </w:rPr>
                    <w:t>①</w:t>
                  </w:r>
                </w:p>
              </w:tc>
              <w:tc>
                <w:tcPr>
                  <w:tcW w:w="2265" w:type="pct"/>
                  <w:tcBorders>
                    <w:tl2br w:val="nil"/>
                    <w:tr2bl w:val="nil"/>
                  </w:tcBorders>
                  <w:vAlign w:val="center"/>
                </w:tcPr>
                <w:p w14:paraId="2B8230BA">
                  <w:pPr>
                    <w:pStyle w:val="48"/>
                    <w:tabs>
                      <w:tab w:val="left" w:pos="0"/>
                    </w:tabs>
                    <w:rPr>
                      <w:rFonts w:hint="default" w:eastAsia="宋体"/>
                      <w:color w:val="auto"/>
                      <w:highlight w:val="none"/>
                      <w:lang w:val="en-US" w:eastAsia="zh-CN"/>
                    </w:rPr>
                  </w:pPr>
                  <w:r>
                    <w:rPr>
                      <w:rFonts w:hint="eastAsia"/>
                      <w:color w:val="auto"/>
                      <w:highlight w:val="none"/>
                      <w:lang w:val="en-US" w:eastAsia="zh-CN"/>
                    </w:rPr>
                    <w:t>12（15）</w:t>
                  </w:r>
                  <w:r>
                    <w:rPr>
                      <w:rFonts w:hint="default" w:ascii="Calibri" w:hAnsi="Calibri" w:cs="Calibri"/>
                      <w:color w:val="auto"/>
                      <w:highlight w:val="none"/>
                      <w:vertAlign w:val="superscript"/>
                    </w:rPr>
                    <w:t>②</w:t>
                  </w:r>
                </w:p>
              </w:tc>
            </w:tr>
          </w:tbl>
          <w:p w14:paraId="25AC5619">
            <w:pPr>
              <w:pStyle w:val="48"/>
              <w:jc w:val="both"/>
              <w:rPr>
                <w:rFonts w:hint="eastAsia" w:eastAsia="宋体"/>
                <w:color w:val="auto"/>
                <w:highlight w:val="none"/>
                <w:vertAlign w:val="baseline"/>
                <w:lang w:eastAsia="zh-CN"/>
              </w:rPr>
            </w:pPr>
            <w:r>
              <w:rPr>
                <w:color w:val="auto"/>
                <w:highlight w:val="none"/>
              </w:rPr>
              <w:t>注</w:t>
            </w:r>
            <w:r>
              <w:rPr>
                <w:rFonts w:hint="eastAsia"/>
                <w:color w:val="auto"/>
                <w:highlight w:val="none"/>
                <w:lang w:eastAsia="zh-CN"/>
              </w:rPr>
              <w:t>：①</w:t>
            </w:r>
            <w:r>
              <w:rPr>
                <w:rFonts w:hint="eastAsia" w:ascii="Calibri" w:hAnsi="Calibri" w:cs="Calibri"/>
                <w:color w:val="auto"/>
                <w:highlight w:val="none"/>
                <w:vertAlign w:val="baseline"/>
                <w:lang w:val="en-US" w:eastAsia="zh-CN"/>
              </w:rPr>
              <w:t>执行</w:t>
            </w:r>
            <w:r>
              <w:rPr>
                <w:rFonts w:hint="default" w:ascii="Calibri" w:hAnsi="Calibri" w:cs="Calibri"/>
                <w:color w:val="auto"/>
                <w:highlight w:val="none"/>
                <w:vertAlign w:val="baseline"/>
              </w:rPr>
              <w:t>《污水排入城</w:t>
            </w:r>
            <w:r>
              <w:rPr>
                <w:rFonts w:hint="default" w:ascii="Times New Roman" w:hAnsi="Times New Roman" w:cs="Times New Roman"/>
                <w:color w:val="auto"/>
                <w:highlight w:val="none"/>
                <w:vertAlign w:val="baseline"/>
              </w:rPr>
              <w:t>镇下水道水质标准》（GB/T31962-2015）表1中B等级标准</w:t>
            </w:r>
            <w:r>
              <w:rPr>
                <w:rFonts w:hint="default" w:ascii="Times New Roman" w:hAnsi="Times New Roman" w:cs="Times New Roman"/>
                <w:color w:val="auto"/>
                <w:highlight w:val="none"/>
                <w:vertAlign w:val="baseline"/>
                <w:lang w:eastAsia="zh-CN"/>
              </w:rPr>
              <w:t>；</w:t>
            </w:r>
          </w:p>
          <w:p w14:paraId="607F7030">
            <w:pPr>
              <w:pStyle w:val="48"/>
              <w:ind w:firstLine="420" w:firstLineChars="200"/>
              <w:jc w:val="both"/>
              <w:rPr>
                <w:color w:val="auto"/>
                <w:highlight w:val="none"/>
              </w:rPr>
            </w:pPr>
            <w:r>
              <w:rPr>
                <w:rFonts w:hint="eastAsia" w:ascii="Calibri" w:hAnsi="Calibri" w:cs="Calibri"/>
                <w:color w:val="auto"/>
                <w:highlight w:val="none"/>
                <w:vertAlign w:val="baseline"/>
                <w:lang w:eastAsia="zh-CN"/>
              </w:rPr>
              <w:t>②</w:t>
            </w:r>
            <w:r>
              <w:rPr>
                <w:rFonts w:hint="eastAsia" w:cs="Times New Roman"/>
                <w:color w:val="auto"/>
                <w:highlight w:val="none"/>
                <w:lang w:val="en-US" w:eastAsia="zh-CN"/>
              </w:rPr>
              <w:t>每年11月1日至次年3月31日执行括号内排放限值</w:t>
            </w:r>
            <w:r>
              <w:rPr>
                <w:color w:val="auto"/>
                <w:highlight w:val="none"/>
              </w:rPr>
              <w:t>。</w:t>
            </w:r>
          </w:p>
          <w:p w14:paraId="6CE5C117">
            <w:pPr>
              <w:ind w:firstLine="482"/>
              <w:rPr>
                <w:b/>
                <w:bCs/>
                <w:color w:val="auto"/>
                <w:highlight w:val="none"/>
              </w:rPr>
            </w:pPr>
            <w:r>
              <w:rPr>
                <w:rFonts w:hint="eastAsia"/>
                <w:b/>
                <w:bCs/>
                <w:color w:val="auto"/>
                <w:highlight w:val="none"/>
                <w:lang w:eastAsia="zh-CN"/>
              </w:rPr>
              <w:t>3.</w:t>
            </w:r>
            <w:r>
              <w:rPr>
                <w:b/>
                <w:bCs/>
                <w:color w:val="auto"/>
                <w:highlight w:val="none"/>
              </w:rPr>
              <w:t>噪声排放标准</w:t>
            </w:r>
          </w:p>
          <w:p w14:paraId="6328B384">
            <w:pPr>
              <w:bidi w:val="0"/>
              <w:rPr>
                <w:color w:val="auto"/>
                <w:highlight w:val="none"/>
              </w:rPr>
            </w:pPr>
            <w:r>
              <w:rPr>
                <w:color w:val="auto"/>
                <w:highlight w:val="none"/>
                <w:lang w:val="zh-CN"/>
              </w:rPr>
              <w:t>本项目位于</w:t>
            </w:r>
            <w:r>
              <w:rPr>
                <w:rFonts w:hint="eastAsia"/>
                <w:color w:val="auto"/>
                <w:highlight w:val="none"/>
                <w:lang w:val="zh-CN"/>
              </w:rPr>
              <w:t>南京市</w:t>
            </w:r>
            <w:r>
              <w:rPr>
                <w:rFonts w:hint="eastAsia"/>
                <w:color w:val="auto"/>
                <w:highlight w:val="none"/>
                <w:lang w:val="zh-CN" w:eastAsia="zh-CN"/>
              </w:rPr>
              <w:t>江宁经济技术开发区横溪街道乐园路7号</w:t>
            </w:r>
            <w:r>
              <w:rPr>
                <w:color w:val="auto"/>
                <w:highlight w:val="none"/>
                <w:lang w:val="zh-CN"/>
              </w:rPr>
              <w:t>，</w:t>
            </w:r>
            <w:r>
              <w:rPr>
                <w:rFonts w:hint="eastAsia"/>
                <w:color w:val="auto"/>
                <w:highlight w:val="none"/>
                <w:lang w:val="en-US" w:eastAsia="zh-CN"/>
              </w:rPr>
              <w:t>根据《南京市声环境功能区划（2026年修订版）》，项目所在地位于声环境功能区3类区，因此企业厂界噪声执</w:t>
            </w:r>
            <w:r>
              <w:rPr>
                <w:color w:val="auto"/>
                <w:highlight w:val="none"/>
              </w:rPr>
              <w:t>行《工业企业厂界环境噪声排放标准》（GB12348-2008）中的</w:t>
            </w:r>
            <w:r>
              <w:rPr>
                <w:rFonts w:hint="eastAsia"/>
                <w:color w:val="auto"/>
                <w:highlight w:val="none"/>
                <w:lang w:val="en-US" w:eastAsia="zh-CN"/>
              </w:rPr>
              <w:t>3</w:t>
            </w:r>
            <w:r>
              <w:rPr>
                <w:color w:val="auto"/>
                <w:highlight w:val="none"/>
              </w:rPr>
              <w:t>类标准</w:t>
            </w:r>
            <w:r>
              <w:rPr>
                <w:rFonts w:hint="eastAsia"/>
                <w:color w:val="auto"/>
                <w:highlight w:val="none"/>
                <w:lang w:eastAsia="zh-CN"/>
              </w:rPr>
              <w:t>。</w:t>
            </w:r>
            <w:r>
              <w:rPr>
                <w:color w:val="auto"/>
                <w:highlight w:val="none"/>
              </w:rPr>
              <w:t>具体标准见</w:t>
            </w:r>
            <w:r>
              <w:rPr>
                <w:rFonts w:hint="eastAsia"/>
                <w:color w:val="auto"/>
                <w:highlight w:val="none"/>
                <w:lang w:val="en-US" w:eastAsia="zh-CN"/>
              </w:rPr>
              <w:t>下</w:t>
            </w:r>
            <w:r>
              <w:rPr>
                <w:color w:val="auto"/>
                <w:highlight w:val="none"/>
              </w:rPr>
              <w:t>表。</w:t>
            </w:r>
          </w:p>
          <w:p w14:paraId="7B7CA5A6">
            <w:pPr>
              <w:pStyle w:val="51"/>
              <w:spacing w:before="120"/>
              <w:ind w:firstLine="482"/>
              <w:rPr>
                <w:color w:val="auto"/>
                <w:highlight w:val="none"/>
              </w:rPr>
            </w:pPr>
            <w:bookmarkStart w:id="231" w:name="_GoBack"/>
            <w:bookmarkEnd w:id="231"/>
            <w:r>
              <w:rPr>
                <w:color w:val="auto"/>
                <w:highlight w:val="none"/>
              </w:rPr>
              <w:t>《工业企业厂界环境噪声排放标准》（GB12348-2008）</w:t>
            </w:r>
          </w:p>
          <w:tbl>
            <w:tblPr>
              <w:tblStyle w:val="33"/>
              <w:tblW w:w="839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8"/>
              <w:gridCol w:w="3453"/>
              <w:gridCol w:w="3279"/>
            </w:tblGrid>
            <w:tr w14:paraId="59699E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658" w:type="dxa"/>
                  <w:vAlign w:val="center"/>
                </w:tcPr>
                <w:p w14:paraId="77EBBE19">
                  <w:pPr>
                    <w:pStyle w:val="48"/>
                    <w:rPr>
                      <w:b/>
                      <w:bCs/>
                      <w:color w:val="auto"/>
                      <w:highlight w:val="none"/>
                    </w:rPr>
                  </w:pPr>
                  <w:r>
                    <w:rPr>
                      <w:b/>
                      <w:bCs/>
                      <w:color w:val="auto"/>
                      <w:highlight w:val="none"/>
                    </w:rPr>
                    <w:t>类别</w:t>
                  </w:r>
                </w:p>
              </w:tc>
              <w:tc>
                <w:tcPr>
                  <w:tcW w:w="3453" w:type="dxa"/>
                  <w:vAlign w:val="center"/>
                </w:tcPr>
                <w:p w14:paraId="29E8BB65">
                  <w:pPr>
                    <w:pStyle w:val="48"/>
                    <w:rPr>
                      <w:b/>
                      <w:bCs/>
                      <w:color w:val="auto"/>
                      <w:highlight w:val="none"/>
                    </w:rPr>
                  </w:pPr>
                  <w:r>
                    <w:rPr>
                      <w:b/>
                      <w:bCs/>
                      <w:color w:val="auto"/>
                      <w:highlight w:val="none"/>
                    </w:rPr>
                    <w:t>昼间</w:t>
                  </w:r>
                  <w:r>
                    <w:rPr>
                      <w:rFonts w:hint="eastAsia"/>
                      <w:b/>
                      <w:bCs/>
                      <w:color w:val="auto"/>
                      <w:highlight w:val="none"/>
                      <w:lang w:val="en-US" w:eastAsia="zh-CN"/>
                    </w:rPr>
                    <w:t>/</w:t>
                  </w:r>
                  <w:r>
                    <w:rPr>
                      <w:b/>
                      <w:bCs/>
                      <w:color w:val="auto"/>
                      <w:highlight w:val="none"/>
                    </w:rPr>
                    <w:t>dB（A）</w:t>
                  </w:r>
                </w:p>
              </w:tc>
              <w:tc>
                <w:tcPr>
                  <w:tcW w:w="3279" w:type="dxa"/>
                  <w:vAlign w:val="center"/>
                </w:tcPr>
                <w:p w14:paraId="6069E456">
                  <w:pPr>
                    <w:pStyle w:val="48"/>
                    <w:rPr>
                      <w:b/>
                      <w:bCs/>
                      <w:color w:val="auto"/>
                      <w:highlight w:val="none"/>
                    </w:rPr>
                  </w:pPr>
                  <w:r>
                    <w:rPr>
                      <w:b/>
                      <w:bCs/>
                      <w:color w:val="auto"/>
                      <w:highlight w:val="none"/>
                    </w:rPr>
                    <w:t>夜间</w:t>
                  </w:r>
                  <w:r>
                    <w:rPr>
                      <w:rFonts w:hint="eastAsia"/>
                      <w:b/>
                      <w:bCs/>
                      <w:color w:val="auto"/>
                      <w:highlight w:val="none"/>
                      <w:lang w:val="en-US" w:eastAsia="zh-CN"/>
                    </w:rPr>
                    <w:t>/</w:t>
                  </w:r>
                  <w:r>
                    <w:rPr>
                      <w:b/>
                      <w:bCs/>
                      <w:color w:val="auto"/>
                      <w:highlight w:val="none"/>
                    </w:rPr>
                    <w:t>dB（A）</w:t>
                  </w:r>
                </w:p>
              </w:tc>
            </w:tr>
            <w:tr w14:paraId="6079CA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658" w:type="dxa"/>
                  <w:vAlign w:val="center"/>
                </w:tcPr>
                <w:p w14:paraId="43F22D27">
                  <w:pPr>
                    <w:pStyle w:val="48"/>
                    <w:rPr>
                      <w:rFonts w:hint="default" w:eastAsia="宋体"/>
                      <w:color w:val="auto"/>
                      <w:highlight w:val="none"/>
                      <w:lang w:val="en-US" w:eastAsia="zh-CN"/>
                    </w:rPr>
                  </w:pPr>
                  <w:r>
                    <w:rPr>
                      <w:rFonts w:hint="eastAsia"/>
                      <w:color w:val="auto"/>
                      <w:highlight w:val="none"/>
                      <w:lang w:val="en-US" w:eastAsia="zh-CN"/>
                    </w:rPr>
                    <w:t>3</w:t>
                  </w:r>
                </w:p>
              </w:tc>
              <w:tc>
                <w:tcPr>
                  <w:tcW w:w="3453" w:type="dxa"/>
                  <w:vAlign w:val="center"/>
                </w:tcPr>
                <w:p w14:paraId="3CBB01CB">
                  <w:pPr>
                    <w:pStyle w:val="48"/>
                    <w:rPr>
                      <w:rFonts w:hint="default" w:eastAsia="宋体"/>
                      <w:color w:val="auto"/>
                      <w:highlight w:val="none"/>
                      <w:lang w:val="en-US" w:eastAsia="zh-CN"/>
                    </w:rPr>
                  </w:pPr>
                  <w:r>
                    <w:rPr>
                      <w:rFonts w:hint="eastAsia"/>
                      <w:color w:val="auto"/>
                      <w:highlight w:val="none"/>
                      <w:lang w:val="en-US" w:eastAsia="zh-CN"/>
                    </w:rPr>
                    <w:t>65</w:t>
                  </w:r>
                </w:p>
              </w:tc>
              <w:tc>
                <w:tcPr>
                  <w:tcW w:w="3279" w:type="dxa"/>
                  <w:vAlign w:val="center"/>
                </w:tcPr>
                <w:p w14:paraId="6D408D4E">
                  <w:pPr>
                    <w:pStyle w:val="48"/>
                    <w:rPr>
                      <w:rFonts w:hint="default" w:eastAsia="宋体"/>
                      <w:color w:val="auto"/>
                      <w:highlight w:val="none"/>
                      <w:lang w:val="en-US" w:eastAsia="zh-CN"/>
                    </w:rPr>
                  </w:pPr>
                  <w:r>
                    <w:rPr>
                      <w:rFonts w:hint="eastAsia"/>
                      <w:color w:val="auto"/>
                      <w:highlight w:val="none"/>
                      <w:lang w:val="en-US" w:eastAsia="zh-CN"/>
                    </w:rPr>
                    <w:t>55</w:t>
                  </w:r>
                </w:p>
              </w:tc>
            </w:tr>
          </w:tbl>
          <w:p w14:paraId="5ED27D5C">
            <w:pPr>
              <w:bidi w:val="0"/>
              <w:rPr>
                <w:b/>
                <w:bCs/>
                <w:color w:val="auto"/>
                <w:highlight w:val="none"/>
              </w:rPr>
            </w:pPr>
            <w:r>
              <w:rPr>
                <w:rFonts w:hint="eastAsia"/>
                <w:b/>
                <w:bCs/>
                <w:color w:val="auto"/>
                <w:highlight w:val="none"/>
                <w:lang w:eastAsia="zh-CN"/>
              </w:rPr>
              <w:t>4.</w:t>
            </w:r>
            <w:r>
              <w:rPr>
                <w:b/>
                <w:bCs/>
                <w:color w:val="auto"/>
                <w:highlight w:val="none"/>
              </w:rPr>
              <w:t>固</w:t>
            </w:r>
            <w:r>
              <w:rPr>
                <w:rFonts w:hint="eastAsia"/>
                <w:b/>
                <w:bCs/>
                <w:color w:val="auto"/>
                <w:highlight w:val="none"/>
                <w:lang w:val="en-US" w:eastAsia="zh-CN"/>
              </w:rPr>
              <w:t>体</w:t>
            </w:r>
            <w:r>
              <w:rPr>
                <w:b/>
                <w:bCs/>
                <w:color w:val="auto"/>
                <w:highlight w:val="none"/>
              </w:rPr>
              <w:t>废物</w:t>
            </w:r>
          </w:p>
          <w:p w14:paraId="10C8B9E8">
            <w:pPr>
              <w:bidi w:val="0"/>
              <w:rPr>
                <w:color w:val="auto"/>
                <w:highlight w:val="none"/>
              </w:rPr>
            </w:pPr>
            <w:r>
              <w:rPr>
                <w:color w:val="auto"/>
                <w:highlight w:val="none"/>
                <w:lang w:val="zh-CN"/>
              </w:rPr>
              <w:t>本项目一般工业固体废物</w:t>
            </w:r>
            <w:r>
              <w:rPr>
                <w:rFonts w:hint="eastAsia"/>
                <w:color w:val="auto"/>
                <w:highlight w:val="none"/>
              </w:rPr>
              <w:t>贮存过程</w:t>
            </w:r>
            <w:bookmarkStart w:id="119" w:name="bkReivew153431"/>
            <w:r>
              <w:rPr>
                <w:rFonts w:hint="eastAsia"/>
                <w:color w:val="auto"/>
                <w:highlight w:val="none"/>
                <w:lang w:eastAsia="zh-CN"/>
              </w:rPr>
              <w:t>应满足</w:t>
            </w:r>
            <w:bookmarkEnd w:id="119"/>
            <w:r>
              <w:rPr>
                <w:rFonts w:hint="eastAsia"/>
                <w:color w:val="auto"/>
                <w:highlight w:val="none"/>
              </w:rPr>
              <w:t>相应防渗漏、防雨淋、防扬尘等环境保护要求。</w:t>
            </w:r>
          </w:p>
          <w:p w14:paraId="131F4B53">
            <w:pPr>
              <w:bidi w:val="0"/>
              <w:rPr>
                <w:color w:val="auto"/>
                <w:highlight w:val="none"/>
                <w:lang w:val="zh-CN"/>
              </w:rPr>
            </w:pPr>
            <w:r>
              <w:rPr>
                <w:rFonts w:hint="eastAsia"/>
                <w:color w:val="auto"/>
                <w:highlight w:val="none"/>
                <w:lang w:val="zh-CN"/>
              </w:rPr>
              <w:t>危险废物</w:t>
            </w:r>
            <w:r>
              <w:rPr>
                <w:rFonts w:hint="eastAsia"/>
                <w:color w:val="auto"/>
                <w:highlight w:val="none"/>
              </w:rPr>
              <w:t>暂存</w:t>
            </w:r>
            <w:r>
              <w:rPr>
                <w:rFonts w:hint="eastAsia"/>
                <w:color w:val="auto"/>
                <w:highlight w:val="none"/>
                <w:lang w:val="zh-CN"/>
              </w:rPr>
              <w:t>按《危险废物贮存污染控制标准》（GB18597</w:t>
            </w:r>
            <w:r>
              <w:rPr>
                <w:rFonts w:hint="eastAsia"/>
                <w:color w:val="auto"/>
                <w:highlight w:val="none"/>
              </w:rPr>
              <w:t>-</w:t>
            </w:r>
            <w:r>
              <w:rPr>
                <w:rFonts w:hint="eastAsia"/>
                <w:color w:val="auto"/>
                <w:highlight w:val="none"/>
                <w:lang w:val="zh-CN"/>
              </w:rPr>
              <w:t>2023）、</w:t>
            </w:r>
            <w:r>
              <w:rPr>
                <w:rFonts w:hint="eastAsia"/>
                <w:color w:val="auto"/>
                <w:highlight w:val="none"/>
              </w:rPr>
              <w:t>《危险废物识别标志设置技术规范》（HJ1276-2022）相关</w:t>
            </w:r>
            <w:r>
              <w:rPr>
                <w:rFonts w:hint="eastAsia"/>
                <w:color w:val="auto"/>
                <w:highlight w:val="none"/>
                <w:lang w:val="zh-CN"/>
              </w:rPr>
              <w:t>要求</w:t>
            </w:r>
            <w:r>
              <w:rPr>
                <w:rFonts w:hint="eastAsia"/>
                <w:color w:val="auto"/>
                <w:highlight w:val="none"/>
              </w:rPr>
              <w:t>执行</w:t>
            </w:r>
            <w:r>
              <w:rPr>
                <w:rFonts w:hint="eastAsia"/>
                <w:color w:val="auto"/>
                <w:highlight w:val="none"/>
                <w:lang w:val="zh-CN"/>
              </w:rPr>
              <w:t>。</w:t>
            </w:r>
          </w:p>
        </w:tc>
      </w:tr>
      <w:tr w14:paraId="29546E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52" w:type="dxa"/>
            <w:vAlign w:val="center"/>
          </w:tcPr>
          <w:p w14:paraId="1DF077E1">
            <w:pPr>
              <w:adjustRightInd w:val="0"/>
              <w:snapToGrid w:val="0"/>
              <w:spacing w:line="240" w:lineRule="auto"/>
              <w:ind w:firstLine="0" w:firstLineChars="0"/>
              <w:jc w:val="center"/>
              <w:rPr>
                <w:b/>
                <w:bCs/>
                <w:color w:val="auto"/>
                <w:kern w:val="0"/>
                <w:highlight w:val="none"/>
              </w:rPr>
            </w:pPr>
            <w:r>
              <w:rPr>
                <w:b/>
                <w:bCs/>
                <w:color w:val="auto"/>
                <w:kern w:val="0"/>
                <w:highlight w:val="none"/>
              </w:rPr>
              <w:t>总量</w:t>
            </w:r>
          </w:p>
          <w:p w14:paraId="2D33B9B2">
            <w:pPr>
              <w:adjustRightInd w:val="0"/>
              <w:snapToGrid w:val="0"/>
              <w:spacing w:line="240" w:lineRule="auto"/>
              <w:ind w:firstLine="0" w:firstLineChars="0"/>
              <w:jc w:val="center"/>
              <w:rPr>
                <w:b/>
                <w:bCs/>
                <w:color w:val="auto"/>
                <w:kern w:val="0"/>
                <w:highlight w:val="none"/>
              </w:rPr>
            </w:pPr>
            <w:r>
              <w:rPr>
                <w:b/>
                <w:bCs/>
                <w:color w:val="auto"/>
                <w:kern w:val="0"/>
                <w:highlight w:val="none"/>
              </w:rPr>
              <w:t>控制</w:t>
            </w:r>
          </w:p>
          <w:p w14:paraId="3467BC07">
            <w:pPr>
              <w:adjustRightInd w:val="0"/>
              <w:snapToGrid w:val="0"/>
              <w:spacing w:line="240" w:lineRule="auto"/>
              <w:ind w:firstLine="0" w:firstLineChars="0"/>
              <w:jc w:val="center"/>
              <w:rPr>
                <w:b/>
                <w:bCs/>
                <w:color w:val="auto"/>
                <w:kern w:val="0"/>
                <w:highlight w:val="none"/>
              </w:rPr>
            </w:pPr>
            <w:r>
              <w:rPr>
                <w:b/>
                <w:bCs/>
                <w:color w:val="auto"/>
                <w:kern w:val="0"/>
                <w:highlight w:val="none"/>
              </w:rPr>
              <w:t>指标</w:t>
            </w:r>
          </w:p>
        </w:tc>
        <w:tc>
          <w:tcPr>
            <w:tcW w:w="8609" w:type="dxa"/>
            <w:vAlign w:val="center"/>
          </w:tcPr>
          <w:p w14:paraId="01538D83">
            <w:pPr>
              <w:ind w:firstLine="480"/>
              <w:rPr>
                <w:color w:val="auto"/>
                <w:highlight w:val="none"/>
              </w:rPr>
            </w:pPr>
            <w:r>
              <w:rPr>
                <w:color w:val="auto"/>
                <w:highlight w:val="none"/>
                <w:lang w:val="zh-CN"/>
              </w:rPr>
              <w:t>根据本项目排污特征，确定总量控制及考核因子为：</w:t>
            </w:r>
          </w:p>
          <w:p w14:paraId="38EE8243">
            <w:pPr>
              <w:ind w:firstLine="482"/>
              <w:rPr>
                <w:b w:val="0"/>
                <w:bCs w:val="0"/>
                <w:color w:val="auto"/>
                <w:highlight w:val="none"/>
              </w:rPr>
            </w:pPr>
            <w:r>
              <w:rPr>
                <w:b w:val="0"/>
                <w:bCs w:val="0"/>
                <w:color w:val="auto"/>
                <w:highlight w:val="none"/>
              </w:rPr>
              <w:t>（</w:t>
            </w:r>
            <w:r>
              <w:rPr>
                <w:rFonts w:hint="eastAsia"/>
                <w:b w:val="0"/>
                <w:bCs w:val="0"/>
                <w:color w:val="auto"/>
                <w:highlight w:val="none"/>
              </w:rPr>
              <w:t>1</w:t>
            </w:r>
            <w:r>
              <w:rPr>
                <w:b w:val="0"/>
                <w:bCs w:val="0"/>
                <w:color w:val="auto"/>
                <w:highlight w:val="none"/>
              </w:rPr>
              <w:t>）废气</w:t>
            </w:r>
          </w:p>
          <w:p w14:paraId="366E652D">
            <w:pPr>
              <w:ind w:firstLine="480"/>
              <w:rPr>
                <w:b w:val="0"/>
                <w:bCs w:val="0"/>
                <w:color w:val="auto"/>
                <w:highlight w:val="none"/>
              </w:rPr>
            </w:pPr>
            <w:r>
              <w:rPr>
                <w:rFonts w:hint="eastAsia"/>
                <w:b w:val="0"/>
                <w:bCs w:val="0"/>
                <w:color w:val="auto"/>
                <w:highlight w:val="none"/>
              </w:rPr>
              <w:t>本项目建成后</w:t>
            </w:r>
            <w:r>
              <w:rPr>
                <w:rFonts w:hint="eastAsia"/>
                <w:b w:val="0"/>
                <w:bCs w:val="0"/>
                <w:color w:val="auto"/>
                <w:highlight w:val="none"/>
                <w:lang w:eastAsia="zh-CN"/>
              </w:rPr>
              <w:t>，</w:t>
            </w:r>
            <w:r>
              <w:rPr>
                <w:rFonts w:hint="eastAsia"/>
                <w:b w:val="0"/>
                <w:bCs w:val="0"/>
                <w:color w:val="auto"/>
                <w:highlight w:val="none"/>
                <w:lang w:val="zh-CN"/>
              </w:rPr>
              <w:t>新增</w:t>
            </w:r>
            <w:r>
              <w:rPr>
                <w:rFonts w:hint="eastAsia"/>
                <w:b w:val="0"/>
                <w:bCs w:val="0"/>
                <w:color w:val="auto"/>
                <w:highlight w:val="none"/>
                <w:lang w:val="en-US" w:eastAsia="zh-CN"/>
              </w:rPr>
              <w:t>废气</w:t>
            </w:r>
            <w:r>
              <w:rPr>
                <w:rFonts w:hint="eastAsia"/>
                <w:b w:val="0"/>
                <w:bCs w:val="0"/>
                <w:color w:val="auto"/>
                <w:highlight w:val="none"/>
                <w:lang w:val="en-US" w:eastAsia="zh-CN"/>
              </w:rPr>
              <w:t>VOCs0.0026t/a、颗粒物0.0188t/a</w:t>
            </w:r>
            <w:r>
              <w:rPr>
                <w:rFonts w:hint="eastAsia"/>
                <w:b w:val="0"/>
                <w:bCs w:val="0"/>
                <w:color w:val="auto"/>
                <w:highlight w:val="none"/>
                <w:lang w:eastAsia="zh-CN"/>
              </w:rPr>
              <w:t>，</w:t>
            </w:r>
            <w:r>
              <w:rPr>
                <w:rFonts w:hint="eastAsia"/>
                <w:b w:val="0"/>
                <w:bCs w:val="0"/>
                <w:color w:val="auto"/>
                <w:highlight w:val="none"/>
              </w:rPr>
              <w:t>废气污染物由江宁区大气减排项目平衡。</w:t>
            </w:r>
          </w:p>
          <w:p w14:paraId="4A425E3B">
            <w:pPr>
              <w:ind w:firstLine="482"/>
              <w:rPr>
                <w:b w:val="0"/>
                <w:bCs w:val="0"/>
                <w:color w:val="auto"/>
                <w:highlight w:val="none"/>
              </w:rPr>
            </w:pPr>
            <w:r>
              <w:rPr>
                <w:b w:val="0"/>
                <w:bCs w:val="0"/>
                <w:color w:val="auto"/>
                <w:highlight w:val="none"/>
              </w:rPr>
              <w:t>（</w:t>
            </w:r>
            <w:r>
              <w:rPr>
                <w:rFonts w:hint="eastAsia"/>
                <w:b w:val="0"/>
                <w:bCs w:val="0"/>
                <w:color w:val="auto"/>
                <w:highlight w:val="none"/>
              </w:rPr>
              <w:t>2</w:t>
            </w:r>
            <w:r>
              <w:rPr>
                <w:b w:val="0"/>
                <w:bCs w:val="0"/>
                <w:color w:val="auto"/>
                <w:highlight w:val="none"/>
              </w:rPr>
              <w:t>）废水</w:t>
            </w:r>
          </w:p>
          <w:p w14:paraId="259319D6">
            <w:pPr>
              <w:ind w:firstLine="480"/>
              <w:rPr>
                <w:b w:val="0"/>
                <w:bCs w:val="0"/>
                <w:color w:val="auto"/>
                <w:highlight w:val="none"/>
                <w:lang w:val="zh-CN"/>
              </w:rPr>
            </w:pPr>
            <w:bookmarkStart w:id="120" w:name="sys1300069"/>
            <w:r>
              <w:rPr>
                <w:rFonts w:hint="eastAsia"/>
                <w:b w:val="0"/>
                <w:bCs w:val="0"/>
                <w:color w:val="auto"/>
                <w:highlight w:val="none"/>
                <w:lang w:val="zh-CN"/>
              </w:rPr>
              <w:t>本项目建成后新增废水排放量</w:t>
            </w:r>
            <w:r>
              <w:rPr>
                <w:rFonts w:hint="eastAsia"/>
                <w:b w:val="0"/>
                <w:bCs w:val="0"/>
                <w:color w:val="auto"/>
                <w:highlight w:val="none"/>
                <w:lang w:val="en-US" w:eastAsia="zh-CN"/>
              </w:rPr>
              <w:t>50t</w:t>
            </w:r>
            <w:r>
              <w:rPr>
                <w:rFonts w:hint="eastAsia"/>
                <w:b w:val="0"/>
                <w:bCs w:val="0"/>
                <w:color w:val="auto"/>
                <w:highlight w:val="none"/>
                <w:lang w:val="zh-CN"/>
              </w:rPr>
              <w:t>/a，新增COD</w:t>
            </w:r>
            <w:r>
              <w:rPr>
                <w:rFonts w:hint="eastAsia"/>
                <w:b w:val="0"/>
                <w:bCs w:val="0"/>
                <w:color w:val="auto"/>
                <w:highlight w:val="none"/>
              </w:rPr>
              <w:t>外排</w:t>
            </w:r>
            <w:r>
              <w:rPr>
                <w:rFonts w:hint="eastAsia"/>
                <w:b w:val="0"/>
                <w:bCs w:val="0"/>
                <w:color w:val="auto"/>
                <w:highlight w:val="none"/>
                <w:lang w:val="zh-CN"/>
              </w:rPr>
              <w:t>量</w:t>
            </w:r>
            <w:r>
              <w:rPr>
                <w:rFonts w:hint="eastAsia"/>
                <w:color w:val="auto"/>
                <w:highlight w:val="none"/>
                <w:lang w:val="en-US" w:eastAsia="zh-CN"/>
              </w:rPr>
              <w:t>0.0025</w:t>
            </w:r>
            <w:r>
              <w:rPr>
                <w:rFonts w:hint="eastAsia"/>
                <w:b w:val="0"/>
                <w:bCs w:val="0"/>
                <w:color w:val="auto"/>
                <w:highlight w:val="none"/>
                <w:lang w:val="zh-CN"/>
              </w:rPr>
              <w:t>t/a、</w:t>
            </w:r>
            <w:r>
              <w:rPr>
                <w:rFonts w:hint="eastAsia"/>
                <w:b w:val="0"/>
                <w:bCs w:val="0"/>
                <w:color w:val="auto"/>
                <w:highlight w:val="none"/>
                <w:lang w:val="en-US" w:eastAsia="zh-CN"/>
              </w:rPr>
              <w:t>氨氮</w:t>
            </w:r>
            <w:r>
              <w:rPr>
                <w:rFonts w:hint="eastAsia"/>
                <w:b w:val="0"/>
                <w:bCs w:val="0"/>
                <w:color w:val="auto"/>
                <w:highlight w:val="none"/>
              </w:rPr>
              <w:t>外排</w:t>
            </w:r>
            <w:r>
              <w:rPr>
                <w:rFonts w:hint="eastAsia"/>
                <w:b w:val="0"/>
                <w:bCs w:val="0"/>
                <w:color w:val="auto"/>
                <w:highlight w:val="none"/>
                <w:lang w:val="zh-CN"/>
              </w:rPr>
              <w:t>量</w:t>
            </w:r>
            <w:r>
              <w:rPr>
                <w:rFonts w:hint="eastAsia"/>
                <w:color w:val="auto"/>
                <w:highlight w:val="none"/>
                <w:lang w:val="en-US" w:eastAsia="zh-CN"/>
              </w:rPr>
              <w:t>0.0003</w:t>
            </w:r>
            <w:r>
              <w:rPr>
                <w:rFonts w:hint="eastAsia"/>
                <w:b w:val="0"/>
                <w:bCs w:val="0"/>
                <w:color w:val="auto"/>
                <w:highlight w:val="none"/>
                <w:lang w:val="zh-CN"/>
              </w:rPr>
              <w:t>t/a，废水污染物由江宁区水减排项目平衡。</w:t>
            </w:r>
            <w:bookmarkEnd w:id="120"/>
          </w:p>
          <w:p w14:paraId="5E11C8A6">
            <w:pPr>
              <w:ind w:firstLine="482"/>
              <w:rPr>
                <w:b w:val="0"/>
                <w:bCs w:val="0"/>
                <w:color w:val="auto"/>
                <w:highlight w:val="none"/>
              </w:rPr>
            </w:pPr>
            <w:r>
              <w:rPr>
                <w:b w:val="0"/>
                <w:bCs w:val="0"/>
                <w:color w:val="auto"/>
                <w:highlight w:val="none"/>
              </w:rPr>
              <w:t>（3）固废</w:t>
            </w:r>
          </w:p>
          <w:p w14:paraId="2C24AC44">
            <w:pPr>
              <w:ind w:firstLine="480"/>
              <w:rPr>
                <w:rFonts w:hint="eastAsia"/>
                <w:color w:val="auto"/>
                <w:highlight w:val="none"/>
              </w:rPr>
            </w:pPr>
            <w:r>
              <w:rPr>
                <w:rFonts w:hint="eastAsia"/>
                <w:b w:val="0"/>
                <w:bCs w:val="0"/>
                <w:color w:val="auto"/>
                <w:highlight w:val="none"/>
              </w:rPr>
              <w:t>固体废物分类收集，妥善暂存，合理处置，无需</w:t>
            </w:r>
            <w:r>
              <w:rPr>
                <w:rFonts w:hint="eastAsia"/>
                <w:color w:val="auto"/>
                <w:highlight w:val="none"/>
              </w:rPr>
              <w:t>申请总量。</w:t>
            </w:r>
          </w:p>
          <w:p w14:paraId="589B2B57">
            <w:pPr>
              <w:ind w:firstLine="480"/>
              <w:rPr>
                <w:rFonts w:hint="eastAsia" w:ascii="Times New Roman" w:hAnsi="Times New Roman" w:eastAsia="宋体" w:cs="Times New Roman"/>
                <w:b w:val="0"/>
                <w:bCs w:val="0"/>
                <w:color w:val="auto"/>
                <w:highlight w:val="none"/>
              </w:rPr>
            </w:pPr>
            <w:r>
              <w:rPr>
                <w:rFonts w:hint="eastAsia" w:ascii="Times New Roman" w:hAnsi="Times New Roman" w:eastAsia="宋体" w:cs="Times New Roman"/>
                <w:b w:val="0"/>
                <w:bCs w:val="0"/>
                <w:color w:val="auto"/>
                <w:highlight w:val="none"/>
              </w:rPr>
              <w:t>本项目污染物排放情况见表3</w:t>
            </w:r>
            <w:r>
              <w:rPr>
                <w:rFonts w:hint="eastAsia" w:ascii="Times New Roman" w:hAnsi="Times New Roman" w:eastAsia="宋体" w:cs="Times New Roman"/>
                <w:b w:val="0"/>
                <w:bCs w:val="0"/>
                <w:color w:val="auto"/>
                <w:highlight w:val="none"/>
                <w:lang w:val="en-US" w:eastAsia="zh-CN"/>
              </w:rPr>
              <w:t>-</w:t>
            </w:r>
            <w:r>
              <w:rPr>
                <w:rFonts w:hint="eastAsia" w:cs="Times New Roman"/>
                <w:b w:val="0"/>
                <w:bCs w:val="0"/>
                <w:color w:val="auto"/>
                <w:highlight w:val="none"/>
                <w:lang w:val="en-US" w:eastAsia="zh-CN"/>
              </w:rPr>
              <w:t>10</w:t>
            </w:r>
            <w:r>
              <w:rPr>
                <w:rFonts w:hint="eastAsia" w:ascii="Times New Roman" w:hAnsi="Times New Roman" w:eastAsia="宋体" w:cs="Times New Roman"/>
                <w:b w:val="0"/>
                <w:bCs w:val="0"/>
                <w:color w:val="auto"/>
                <w:highlight w:val="none"/>
              </w:rPr>
              <w:t>。</w:t>
            </w:r>
          </w:p>
          <w:p w14:paraId="1EC38394">
            <w:pPr>
              <w:pStyle w:val="51"/>
              <w:bidi w:val="0"/>
              <w:rPr>
                <w:color w:val="auto"/>
                <w:highlight w:val="none"/>
              </w:rPr>
            </w:pPr>
            <w:r>
              <w:rPr>
                <w:rFonts w:hint="eastAsia"/>
                <w:color w:val="auto"/>
                <w:highlight w:val="none"/>
                <w:lang w:val="en-US" w:eastAsia="zh-CN"/>
              </w:rPr>
              <w:t>污染物产生、排放汇总表</w:t>
            </w:r>
          </w:p>
          <w:tbl>
            <w:tblPr>
              <w:tblStyle w:val="33"/>
              <w:tblW w:w="499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749"/>
              <w:gridCol w:w="1846"/>
              <w:gridCol w:w="1807"/>
              <w:gridCol w:w="2034"/>
            </w:tblGrid>
            <w:tr w14:paraId="3852A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62" w:type="pct"/>
                  <w:shd w:val="clear" w:color="auto" w:fill="auto"/>
                  <w:vAlign w:val="center"/>
                </w:tcPr>
                <w:p w14:paraId="13D8DC73">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类别</w:t>
                  </w:r>
                </w:p>
              </w:tc>
              <w:tc>
                <w:tcPr>
                  <w:tcW w:w="1043" w:type="pct"/>
                  <w:shd w:val="clear" w:color="auto" w:fill="auto"/>
                  <w:vAlign w:val="center"/>
                </w:tcPr>
                <w:p w14:paraId="0C39DF28">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污染物名称</w:t>
                  </w:r>
                </w:p>
              </w:tc>
              <w:tc>
                <w:tcPr>
                  <w:tcW w:w="1101" w:type="pct"/>
                  <w:shd w:val="clear" w:color="auto" w:fill="auto"/>
                  <w:vAlign w:val="center"/>
                </w:tcPr>
                <w:p w14:paraId="47C43F88">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产生量（t/a）</w:t>
                  </w:r>
                </w:p>
              </w:tc>
              <w:tc>
                <w:tcPr>
                  <w:tcW w:w="1078" w:type="pct"/>
                  <w:shd w:val="clear" w:color="auto" w:fill="auto"/>
                  <w:vAlign w:val="center"/>
                </w:tcPr>
                <w:p w14:paraId="61781849">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削减量（t/a）</w:t>
                  </w:r>
                </w:p>
              </w:tc>
              <w:tc>
                <w:tcPr>
                  <w:tcW w:w="1213" w:type="pct"/>
                  <w:shd w:val="clear" w:color="auto" w:fill="auto"/>
                  <w:vAlign w:val="center"/>
                </w:tcPr>
                <w:p w14:paraId="10E8ED2E">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排放量（t/a）</w:t>
                  </w:r>
                </w:p>
              </w:tc>
            </w:tr>
            <w:tr w14:paraId="2EE634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restart"/>
                  <w:vAlign w:val="center"/>
                </w:tcPr>
                <w:p w14:paraId="0787C31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无组织废气</w:t>
                  </w:r>
                </w:p>
              </w:tc>
              <w:tc>
                <w:tcPr>
                  <w:tcW w:w="1043" w:type="pct"/>
                  <w:shd w:val="clear" w:color="auto" w:fill="auto"/>
                  <w:vAlign w:val="center"/>
                </w:tcPr>
                <w:p w14:paraId="4090C2E4">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非甲烷总烃</w:t>
                  </w:r>
                </w:p>
              </w:tc>
              <w:tc>
                <w:tcPr>
                  <w:tcW w:w="1846" w:type="dxa"/>
                  <w:shd w:val="clear" w:color="auto" w:fill="auto"/>
                  <w:vAlign w:val="center"/>
                </w:tcPr>
                <w:p w14:paraId="275BD87D">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w:t>
                  </w:r>
                  <w:r>
                    <w:rPr>
                      <w:rFonts w:hint="eastAsia" w:cs="Times New Roman"/>
                      <w:b w:val="0"/>
                      <w:bCs w:val="0"/>
                      <w:color w:val="auto"/>
                      <w:sz w:val="21"/>
                      <w:szCs w:val="21"/>
                      <w:highlight w:val="none"/>
                      <w:lang w:val="en-US" w:eastAsia="zh-CN"/>
                    </w:rPr>
                    <w:t>0026</w:t>
                  </w:r>
                </w:p>
              </w:tc>
              <w:tc>
                <w:tcPr>
                  <w:tcW w:w="1078" w:type="pct"/>
                  <w:shd w:val="clear" w:color="auto" w:fill="auto"/>
                  <w:vAlign w:val="center"/>
                </w:tcPr>
                <w:p w14:paraId="240FFED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034" w:type="dxa"/>
                  <w:shd w:val="clear" w:color="auto" w:fill="auto"/>
                  <w:vAlign w:val="center"/>
                </w:tcPr>
                <w:p w14:paraId="3F8E2FB7">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w:t>
                  </w:r>
                  <w:r>
                    <w:rPr>
                      <w:rFonts w:hint="eastAsia" w:cs="Times New Roman"/>
                      <w:b w:val="0"/>
                      <w:bCs w:val="0"/>
                      <w:color w:val="auto"/>
                      <w:sz w:val="21"/>
                      <w:szCs w:val="21"/>
                      <w:highlight w:val="none"/>
                      <w:lang w:val="en-US" w:eastAsia="zh-CN"/>
                    </w:rPr>
                    <w:t>0026</w:t>
                  </w:r>
                </w:p>
              </w:tc>
            </w:tr>
            <w:tr w14:paraId="53BE84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7B44CFE8">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color w:val="auto"/>
                      <w:sz w:val="21"/>
                      <w:szCs w:val="21"/>
                      <w:highlight w:val="none"/>
                      <w:lang w:val="en-US" w:eastAsia="zh-CN"/>
                    </w:rPr>
                  </w:pPr>
                </w:p>
              </w:tc>
              <w:tc>
                <w:tcPr>
                  <w:tcW w:w="1043" w:type="pct"/>
                  <w:shd w:val="clear" w:color="auto" w:fill="auto"/>
                  <w:vAlign w:val="center"/>
                </w:tcPr>
                <w:p w14:paraId="65311CA1">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b w:val="0"/>
                      <w:bCs w:val="0"/>
                      <w:color w:val="auto"/>
                      <w:sz w:val="21"/>
                      <w:szCs w:val="21"/>
                      <w:highlight w:val="none"/>
                      <w:lang w:val="en-US" w:eastAsia="zh-CN"/>
                    </w:rPr>
                    <w:t>颗粒物</w:t>
                  </w:r>
                </w:p>
              </w:tc>
              <w:tc>
                <w:tcPr>
                  <w:tcW w:w="1846" w:type="dxa"/>
                  <w:shd w:val="clear" w:color="auto" w:fill="auto"/>
                  <w:vAlign w:val="center"/>
                </w:tcPr>
                <w:p w14:paraId="4BE2BF60">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b w:val="0"/>
                      <w:bCs w:val="0"/>
                      <w:color w:val="auto"/>
                      <w:sz w:val="21"/>
                      <w:szCs w:val="21"/>
                      <w:highlight w:val="none"/>
                      <w:lang w:val="en-US" w:eastAsia="zh-CN"/>
                    </w:rPr>
                    <w:t>0.0188</w:t>
                  </w:r>
                </w:p>
              </w:tc>
              <w:tc>
                <w:tcPr>
                  <w:tcW w:w="1078" w:type="pct"/>
                  <w:shd w:val="clear" w:color="auto" w:fill="auto"/>
                  <w:vAlign w:val="center"/>
                </w:tcPr>
                <w:p w14:paraId="3616F65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034" w:type="dxa"/>
                  <w:shd w:val="clear" w:color="auto" w:fill="auto"/>
                  <w:vAlign w:val="center"/>
                </w:tcPr>
                <w:p w14:paraId="7A566F1C">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b w:val="0"/>
                      <w:bCs w:val="0"/>
                      <w:color w:val="auto"/>
                      <w:sz w:val="21"/>
                      <w:szCs w:val="21"/>
                      <w:highlight w:val="none"/>
                      <w:lang w:val="en-US" w:eastAsia="zh-CN"/>
                    </w:rPr>
                    <w:t>0.0188</w:t>
                  </w:r>
                </w:p>
              </w:tc>
            </w:tr>
            <w:tr w14:paraId="2D35D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1F6A35A1">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color w:val="auto"/>
                      <w:sz w:val="21"/>
                      <w:szCs w:val="21"/>
                      <w:highlight w:val="none"/>
                      <w:lang w:val="en-US" w:eastAsia="zh-CN"/>
                    </w:rPr>
                  </w:pPr>
                </w:p>
              </w:tc>
              <w:tc>
                <w:tcPr>
                  <w:tcW w:w="1043" w:type="pct"/>
                  <w:shd w:val="clear" w:color="auto" w:fill="auto"/>
                  <w:vAlign w:val="center"/>
                </w:tcPr>
                <w:p w14:paraId="51E97D11">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b w:val="0"/>
                      <w:bCs w:val="0"/>
                      <w:color w:val="auto"/>
                      <w:sz w:val="21"/>
                      <w:szCs w:val="21"/>
                      <w:highlight w:val="none"/>
                      <w:lang w:val="en-US" w:eastAsia="zh-CN"/>
                    </w:rPr>
                    <w:t>氟化物</w:t>
                  </w:r>
                </w:p>
              </w:tc>
              <w:tc>
                <w:tcPr>
                  <w:tcW w:w="1846" w:type="dxa"/>
                  <w:shd w:val="clear" w:color="auto" w:fill="auto"/>
                  <w:vAlign w:val="center"/>
                </w:tcPr>
                <w:p w14:paraId="6A82C1C0">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b w:val="0"/>
                      <w:bCs w:val="0"/>
                      <w:color w:val="auto"/>
                      <w:sz w:val="21"/>
                      <w:szCs w:val="21"/>
                      <w:highlight w:val="none"/>
                      <w:lang w:val="en-US" w:eastAsia="zh-CN"/>
                    </w:rPr>
                    <w:t>0.0004</w:t>
                  </w:r>
                </w:p>
              </w:tc>
              <w:tc>
                <w:tcPr>
                  <w:tcW w:w="1078" w:type="pct"/>
                  <w:shd w:val="clear" w:color="auto" w:fill="auto"/>
                  <w:vAlign w:val="center"/>
                </w:tcPr>
                <w:p w14:paraId="0CED399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034" w:type="dxa"/>
                  <w:shd w:val="clear" w:color="auto" w:fill="auto"/>
                  <w:vAlign w:val="center"/>
                </w:tcPr>
                <w:p w14:paraId="219E6EBD">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b w:val="0"/>
                      <w:bCs w:val="0"/>
                      <w:color w:val="auto"/>
                      <w:sz w:val="21"/>
                      <w:szCs w:val="21"/>
                      <w:highlight w:val="none"/>
                      <w:lang w:val="en-US" w:eastAsia="zh-CN"/>
                    </w:rPr>
                    <w:t>0.0004</w:t>
                  </w:r>
                </w:p>
              </w:tc>
            </w:tr>
            <w:tr w14:paraId="618FDE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restart"/>
                  <w:vAlign w:val="center"/>
                </w:tcPr>
                <w:p w14:paraId="35120E7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废水</w:t>
                  </w:r>
                </w:p>
              </w:tc>
              <w:tc>
                <w:tcPr>
                  <w:tcW w:w="1043" w:type="pct"/>
                  <w:vAlign w:val="center"/>
                </w:tcPr>
                <w:p w14:paraId="777BC3D7">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废水量</w:t>
                  </w:r>
                </w:p>
              </w:tc>
              <w:tc>
                <w:tcPr>
                  <w:tcW w:w="1101" w:type="pct"/>
                  <w:shd w:val="clear" w:color="auto" w:fill="auto"/>
                  <w:vAlign w:val="center"/>
                </w:tcPr>
                <w:p w14:paraId="2ABDE3A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1078" w:type="pct"/>
                  <w:vAlign w:val="center"/>
                </w:tcPr>
                <w:p w14:paraId="2FC146A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213" w:type="pct"/>
                  <w:shd w:val="clear" w:color="auto" w:fill="auto"/>
                  <w:vAlign w:val="center"/>
                </w:tcPr>
                <w:p w14:paraId="7A6F2B2D">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r>
            <w:tr w14:paraId="5D9795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02DA3D22">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62D953B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COD</w:t>
                  </w:r>
                </w:p>
              </w:tc>
              <w:tc>
                <w:tcPr>
                  <w:tcW w:w="1846" w:type="dxa"/>
                  <w:vAlign w:val="center"/>
                </w:tcPr>
                <w:p w14:paraId="6C6958E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0.0225</w:t>
                  </w:r>
                </w:p>
              </w:tc>
              <w:tc>
                <w:tcPr>
                  <w:tcW w:w="1078" w:type="pct"/>
                  <w:vAlign w:val="center"/>
                </w:tcPr>
                <w:p w14:paraId="2472456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045</w:t>
                  </w:r>
                </w:p>
              </w:tc>
              <w:tc>
                <w:tcPr>
                  <w:tcW w:w="2034" w:type="dxa"/>
                  <w:shd w:val="clear" w:color="auto" w:fill="auto"/>
                  <w:vAlign w:val="center"/>
                </w:tcPr>
                <w:p w14:paraId="6AE97FE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0.018</w:t>
                  </w:r>
                  <w:r>
                    <w:rPr>
                      <w:rFonts w:hint="eastAsia" w:ascii="Times New Roman" w:hAnsi="Times New Roman" w:eastAsia="宋体" w:cs="Times New Roman"/>
                      <w:color w:val="auto"/>
                      <w:sz w:val="21"/>
                      <w:szCs w:val="21"/>
                      <w:highlight w:val="none"/>
                      <w:lang w:val="en-US" w:eastAsia="zh-CN"/>
                    </w:rPr>
                    <w:t>/0.0025</w:t>
                  </w:r>
                </w:p>
              </w:tc>
            </w:tr>
            <w:tr w14:paraId="50338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03772A89">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5B6586D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SS</w:t>
                  </w:r>
                </w:p>
              </w:tc>
              <w:tc>
                <w:tcPr>
                  <w:tcW w:w="1846" w:type="dxa"/>
                  <w:vAlign w:val="center"/>
                </w:tcPr>
                <w:p w14:paraId="47B662C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0.0175</w:t>
                  </w:r>
                </w:p>
              </w:tc>
              <w:tc>
                <w:tcPr>
                  <w:tcW w:w="1078" w:type="pct"/>
                  <w:vAlign w:val="center"/>
                </w:tcPr>
                <w:p w14:paraId="2F2607F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0.0</w:t>
                  </w:r>
                  <w:r>
                    <w:rPr>
                      <w:rFonts w:hint="eastAsia" w:cs="Times New Roman"/>
                      <w:i w:val="0"/>
                      <w:iCs w:val="0"/>
                      <w:color w:val="auto"/>
                      <w:kern w:val="0"/>
                      <w:sz w:val="21"/>
                      <w:szCs w:val="21"/>
                      <w:highlight w:val="none"/>
                      <w:u w:val="none"/>
                      <w:lang w:val="en-US" w:eastAsia="zh-CN" w:bidi="ar"/>
                    </w:rPr>
                    <w:t>105</w:t>
                  </w:r>
                </w:p>
              </w:tc>
              <w:tc>
                <w:tcPr>
                  <w:tcW w:w="2034" w:type="dxa"/>
                  <w:shd w:val="clear" w:color="auto" w:fill="auto"/>
                  <w:vAlign w:val="center"/>
                </w:tcPr>
                <w:p w14:paraId="6387D8F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0.007</w:t>
                  </w:r>
                  <w:r>
                    <w:rPr>
                      <w:rFonts w:hint="eastAsia" w:ascii="Times New Roman" w:hAnsi="Times New Roman" w:eastAsia="宋体" w:cs="Times New Roman"/>
                      <w:color w:val="auto"/>
                      <w:sz w:val="21"/>
                      <w:szCs w:val="21"/>
                      <w:highlight w:val="none"/>
                      <w:lang w:val="en-US" w:eastAsia="zh-CN"/>
                    </w:rPr>
                    <w:t>/0.0005</w:t>
                  </w:r>
                </w:p>
              </w:tc>
            </w:tr>
            <w:tr w14:paraId="59F2A3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0506571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18751EC4">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氨氮</w:t>
                  </w:r>
                </w:p>
              </w:tc>
              <w:tc>
                <w:tcPr>
                  <w:tcW w:w="1846" w:type="dxa"/>
                  <w:vAlign w:val="center"/>
                </w:tcPr>
                <w:p w14:paraId="37F62B0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0.0018 </w:t>
                  </w:r>
                </w:p>
              </w:tc>
              <w:tc>
                <w:tcPr>
                  <w:tcW w:w="1078" w:type="pct"/>
                  <w:vAlign w:val="center"/>
                </w:tcPr>
                <w:p w14:paraId="763A85F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034" w:type="dxa"/>
                  <w:shd w:val="clear" w:color="auto" w:fill="auto"/>
                  <w:vAlign w:val="center"/>
                </w:tcPr>
                <w:p w14:paraId="15CF6C9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0.0018</w:t>
                  </w:r>
                  <w:r>
                    <w:rPr>
                      <w:rFonts w:hint="eastAsia" w:ascii="Times New Roman" w:hAnsi="Times New Roman" w:eastAsia="宋体" w:cs="Times New Roman"/>
                      <w:color w:val="auto"/>
                      <w:sz w:val="21"/>
                      <w:szCs w:val="21"/>
                      <w:highlight w:val="none"/>
                      <w:lang w:val="en-US" w:eastAsia="zh-CN"/>
                    </w:rPr>
                    <w:t>/0.0003</w:t>
                  </w:r>
                </w:p>
              </w:tc>
            </w:tr>
            <w:tr w14:paraId="560391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5036AE2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31A3711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总磷</w:t>
                  </w:r>
                </w:p>
              </w:tc>
              <w:tc>
                <w:tcPr>
                  <w:tcW w:w="1846" w:type="dxa"/>
                  <w:vAlign w:val="center"/>
                </w:tcPr>
                <w:p w14:paraId="1E0F430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0.0003</w:t>
                  </w:r>
                </w:p>
              </w:tc>
              <w:tc>
                <w:tcPr>
                  <w:tcW w:w="1078" w:type="pct"/>
                  <w:vAlign w:val="center"/>
                </w:tcPr>
                <w:p w14:paraId="3C13142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034" w:type="dxa"/>
                  <w:shd w:val="clear" w:color="auto" w:fill="auto"/>
                  <w:vAlign w:val="center"/>
                </w:tcPr>
                <w:p w14:paraId="266B2B1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0.0003</w:t>
                  </w:r>
                  <w:r>
                    <w:rPr>
                      <w:rFonts w:hint="eastAsia" w:ascii="Times New Roman" w:hAnsi="Times New Roman" w:eastAsia="宋体" w:cs="Times New Roman"/>
                      <w:color w:val="auto"/>
                      <w:sz w:val="21"/>
                      <w:szCs w:val="21"/>
                      <w:highlight w:val="none"/>
                      <w:lang w:val="en-US" w:eastAsia="zh-CN"/>
                    </w:rPr>
                    <w:t>/0.00003</w:t>
                  </w:r>
                </w:p>
              </w:tc>
            </w:tr>
            <w:tr w14:paraId="05C99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1DAEA920">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69E3A2C1">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总氮</w:t>
                  </w:r>
                </w:p>
              </w:tc>
              <w:tc>
                <w:tcPr>
                  <w:tcW w:w="1846" w:type="dxa"/>
                  <w:vAlign w:val="center"/>
                </w:tcPr>
                <w:p w14:paraId="533720C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0.003</w:t>
                  </w:r>
                </w:p>
              </w:tc>
              <w:tc>
                <w:tcPr>
                  <w:tcW w:w="1078" w:type="pct"/>
                  <w:vAlign w:val="center"/>
                </w:tcPr>
                <w:p w14:paraId="1B4BEB6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034" w:type="dxa"/>
                  <w:shd w:val="clear" w:color="auto" w:fill="auto"/>
                  <w:vAlign w:val="center"/>
                </w:tcPr>
                <w:p w14:paraId="690D305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0.003</w:t>
                  </w:r>
                  <w:r>
                    <w:rPr>
                      <w:rFonts w:hint="eastAsia" w:ascii="Times New Roman" w:hAnsi="Times New Roman" w:eastAsia="宋体" w:cs="Times New Roman"/>
                      <w:color w:val="auto"/>
                      <w:sz w:val="21"/>
                      <w:szCs w:val="21"/>
                      <w:highlight w:val="none"/>
                      <w:lang w:val="en-US" w:eastAsia="zh-CN"/>
                    </w:rPr>
                    <w:t>/0.00075</w:t>
                  </w:r>
                </w:p>
              </w:tc>
            </w:tr>
            <w:tr w14:paraId="1C205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restart"/>
                  <w:vAlign w:val="center"/>
                </w:tcPr>
                <w:p w14:paraId="5F9074E8">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固废</w:t>
                  </w:r>
                </w:p>
              </w:tc>
              <w:tc>
                <w:tcPr>
                  <w:tcW w:w="1043" w:type="pct"/>
                  <w:vAlign w:val="center"/>
                </w:tcPr>
                <w:p w14:paraId="71DECECB">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一般固废</w:t>
                  </w:r>
                </w:p>
              </w:tc>
              <w:tc>
                <w:tcPr>
                  <w:tcW w:w="1101" w:type="pct"/>
                  <w:vAlign w:val="center"/>
                </w:tcPr>
                <w:p w14:paraId="440C107C">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1.455</w:t>
                  </w:r>
                </w:p>
              </w:tc>
              <w:tc>
                <w:tcPr>
                  <w:tcW w:w="1807" w:type="dxa"/>
                  <w:shd w:val="clear" w:color="auto" w:fill="auto"/>
                  <w:vAlign w:val="center"/>
                </w:tcPr>
                <w:p w14:paraId="5210CAD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1.455</w:t>
                  </w:r>
                </w:p>
              </w:tc>
              <w:tc>
                <w:tcPr>
                  <w:tcW w:w="1213" w:type="pct"/>
                  <w:vAlign w:val="center"/>
                </w:tcPr>
                <w:p w14:paraId="5B38DB8D">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r>
                    <w:rPr>
                      <w:rFonts w:hint="eastAsia"/>
                      <w:color w:val="auto"/>
                      <w:sz w:val="21"/>
                      <w:szCs w:val="21"/>
                      <w:highlight w:val="none"/>
                      <w:lang w:val="en-US" w:eastAsia="zh-CN"/>
                    </w:rPr>
                    <w:t>0</w:t>
                  </w:r>
                </w:p>
              </w:tc>
            </w:tr>
            <w:tr w14:paraId="478AAA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492B2DF3">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202C1836">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危险废物</w:t>
                  </w:r>
                </w:p>
              </w:tc>
              <w:tc>
                <w:tcPr>
                  <w:tcW w:w="1101" w:type="pct"/>
                  <w:vAlign w:val="center"/>
                </w:tcPr>
                <w:p w14:paraId="36B92350">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2.166</w:t>
                  </w:r>
                </w:p>
              </w:tc>
              <w:tc>
                <w:tcPr>
                  <w:tcW w:w="1807" w:type="dxa"/>
                  <w:shd w:val="clear" w:color="auto" w:fill="auto"/>
                  <w:vAlign w:val="center"/>
                </w:tcPr>
                <w:p w14:paraId="0BB897D7">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2.166</w:t>
                  </w:r>
                </w:p>
              </w:tc>
              <w:tc>
                <w:tcPr>
                  <w:tcW w:w="1213" w:type="pct"/>
                  <w:vAlign w:val="center"/>
                </w:tcPr>
                <w:p w14:paraId="075D42A3">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r>
                    <w:rPr>
                      <w:rFonts w:hint="eastAsia"/>
                      <w:color w:val="auto"/>
                      <w:sz w:val="21"/>
                      <w:szCs w:val="21"/>
                      <w:highlight w:val="none"/>
                      <w:lang w:val="en-US" w:eastAsia="zh-CN"/>
                    </w:rPr>
                    <w:t>0</w:t>
                  </w:r>
                </w:p>
              </w:tc>
            </w:tr>
            <w:tr w14:paraId="1D610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vAlign w:val="center"/>
                </w:tcPr>
                <w:p w14:paraId="3B497CA7">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p>
              </w:tc>
              <w:tc>
                <w:tcPr>
                  <w:tcW w:w="1043" w:type="pct"/>
                  <w:vAlign w:val="center"/>
                </w:tcPr>
                <w:p w14:paraId="1246541F">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生活垃圾</w:t>
                  </w:r>
                </w:p>
              </w:tc>
              <w:tc>
                <w:tcPr>
                  <w:tcW w:w="1101" w:type="pct"/>
                  <w:vAlign w:val="center"/>
                </w:tcPr>
                <w:p w14:paraId="5038AA71">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0.625</w:t>
                  </w:r>
                </w:p>
              </w:tc>
              <w:tc>
                <w:tcPr>
                  <w:tcW w:w="1807" w:type="dxa"/>
                  <w:vAlign w:val="center"/>
                </w:tcPr>
                <w:p w14:paraId="160F38FA">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rFonts w:hint="default"/>
                      <w:color w:val="auto"/>
                      <w:sz w:val="21"/>
                      <w:szCs w:val="21"/>
                      <w:highlight w:val="none"/>
                      <w:lang w:val="en-US" w:eastAsia="zh-CN"/>
                    </w:rPr>
                  </w:pPr>
                  <w:r>
                    <w:rPr>
                      <w:rFonts w:hint="eastAsia"/>
                      <w:color w:val="auto"/>
                      <w:sz w:val="21"/>
                      <w:szCs w:val="21"/>
                      <w:highlight w:val="none"/>
                      <w:lang w:val="en-US" w:eastAsia="zh-CN"/>
                    </w:rPr>
                    <w:t>0.625</w:t>
                  </w:r>
                </w:p>
              </w:tc>
              <w:tc>
                <w:tcPr>
                  <w:tcW w:w="1213" w:type="pct"/>
                  <w:vAlign w:val="center"/>
                </w:tcPr>
                <w:p w14:paraId="3861752D">
                  <w:pPr>
                    <w:pStyle w:val="48"/>
                    <w:keepNext w:val="0"/>
                    <w:keepLines w:val="0"/>
                    <w:pageBreakBefore w:val="0"/>
                    <w:widowControl w:val="0"/>
                    <w:tabs>
                      <w:tab w:val="left" w:pos="0"/>
                    </w:tabs>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r>
                    <w:rPr>
                      <w:rFonts w:hint="eastAsia"/>
                      <w:color w:val="auto"/>
                      <w:sz w:val="21"/>
                      <w:szCs w:val="21"/>
                      <w:highlight w:val="none"/>
                      <w:lang w:val="en-US" w:eastAsia="zh-CN"/>
                    </w:rPr>
                    <w:t>0</w:t>
                  </w:r>
                </w:p>
              </w:tc>
            </w:tr>
          </w:tbl>
          <w:p w14:paraId="3F8E7C97">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color w:val="auto"/>
                <w:sz w:val="21"/>
                <w:szCs w:val="21"/>
                <w:highlight w:val="none"/>
              </w:rPr>
            </w:pPr>
            <w:r>
              <w:rPr>
                <w:rFonts w:hint="eastAsia"/>
                <w:color w:val="auto"/>
                <w:sz w:val="21"/>
                <w:szCs w:val="21"/>
                <w:highlight w:val="none"/>
                <w:lang w:val="en-US" w:eastAsia="zh-CN"/>
              </w:rPr>
              <w:t>注：A/B，A为接管量，B为最终外排量</w:t>
            </w:r>
          </w:p>
          <w:p w14:paraId="137235CA">
            <w:pPr>
              <w:rPr>
                <w:rFonts w:hint="eastAsia" w:ascii="Times New Roman" w:hAnsi="Times New Roman" w:eastAsia="宋体" w:cs="Times New Roman"/>
                <w:b w:val="0"/>
                <w:bCs w:val="0"/>
                <w:color w:val="auto"/>
                <w:highlight w:val="none"/>
              </w:rPr>
            </w:pPr>
          </w:p>
          <w:p w14:paraId="292F7FE5">
            <w:pPr>
              <w:ind w:firstLine="480"/>
              <w:rPr>
                <w:rFonts w:hint="eastAsia" w:ascii="Times New Roman" w:hAnsi="Times New Roman" w:eastAsia="宋体" w:cs="Times New Roman"/>
                <w:b w:val="0"/>
                <w:bCs w:val="0"/>
                <w:color w:val="auto"/>
                <w:highlight w:val="none"/>
              </w:rPr>
            </w:pPr>
          </w:p>
          <w:p w14:paraId="3BDC1EBA">
            <w:pPr>
              <w:ind w:firstLine="480"/>
              <w:rPr>
                <w:rFonts w:hint="eastAsia" w:ascii="Times New Roman" w:hAnsi="Times New Roman" w:eastAsia="宋体" w:cs="Times New Roman"/>
                <w:b w:val="0"/>
                <w:bCs w:val="0"/>
                <w:color w:val="auto"/>
                <w:highlight w:val="none"/>
              </w:rPr>
            </w:pPr>
          </w:p>
        </w:tc>
      </w:tr>
    </w:tbl>
    <w:p w14:paraId="6F022D8C">
      <w:pPr>
        <w:pStyle w:val="29"/>
        <w:spacing w:before="0" w:beforeAutospacing="0" w:after="0" w:afterAutospacing="0" w:line="360" w:lineRule="auto"/>
        <w:jc w:val="center"/>
        <w:outlineLvl w:val="0"/>
        <w:rPr>
          <w:rFonts w:ascii="Times New Roman" w:hAnsi="Times New Roman" w:eastAsia="黑体"/>
          <w:snapToGrid w:val="0"/>
          <w:color w:val="auto"/>
          <w:sz w:val="36"/>
          <w:szCs w:val="36"/>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D8BCE28">
      <w:pPr>
        <w:pStyle w:val="29"/>
        <w:spacing w:before="0" w:beforeAutospacing="0" w:after="0" w:afterAutospacing="0" w:line="360" w:lineRule="auto"/>
        <w:ind w:firstLine="0" w:firstLineChars="0"/>
        <w:jc w:val="center"/>
        <w:outlineLvl w:val="0"/>
        <w:rPr>
          <w:rFonts w:hint="default" w:ascii="Times New Roman" w:hAnsi="Times New Roman" w:eastAsia="黑体"/>
          <w:snapToGrid w:val="0"/>
          <w:color w:val="auto"/>
          <w:sz w:val="30"/>
          <w:szCs w:val="30"/>
          <w:highlight w:val="none"/>
        </w:rPr>
      </w:pPr>
      <w:bookmarkStart w:id="121" w:name="_Toc22252"/>
      <w:r>
        <w:rPr>
          <w:rFonts w:hint="eastAsia" w:ascii="Times New Roman" w:hAnsi="Times New Roman" w:eastAsia="黑体"/>
          <w:snapToGrid w:val="0"/>
          <w:color w:val="auto"/>
          <w:sz w:val="30"/>
          <w:szCs w:val="30"/>
          <w:highlight w:val="none"/>
          <w:lang w:val="en-US" w:eastAsia="zh-CN"/>
        </w:rPr>
        <w:t>四、</w:t>
      </w:r>
      <w:r>
        <w:rPr>
          <w:rFonts w:hint="default" w:ascii="Times New Roman" w:hAnsi="Times New Roman" w:eastAsia="黑体"/>
          <w:snapToGrid w:val="0"/>
          <w:color w:val="auto"/>
          <w:sz w:val="30"/>
          <w:szCs w:val="30"/>
          <w:highlight w:val="none"/>
        </w:rPr>
        <w:t>主要环境影响和保护措施</w:t>
      </w:r>
      <w:bookmarkEnd w:id="121"/>
      <w:bookmarkStart w:id="122" w:name="pindex1376"/>
      <w:bookmarkEnd w:id="122"/>
    </w:p>
    <w:tbl>
      <w:tblPr>
        <w:tblStyle w:val="33"/>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5"/>
        <w:gridCol w:w="8266"/>
      </w:tblGrid>
      <w:tr w14:paraId="323F5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5" w:type="dxa"/>
            <w:tcMar>
              <w:left w:w="28" w:type="dxa"/>
              <w:right w:w="28" w:type="dxa"/>
            </w:tcMar>
            <w:vAlign w:val="center"/>
          </w:tcPr>
          <w:p w14:paraId="2204DBF1">
            <w:pPr>
              <w:adjustRightInd w:val="0"/>
              <w:snapToGrid w:val="0"/>
              <w:spacing w:line="240" w:lineRule="auto"/>
              <w:ind w:firstLine="0" w:firstLineChars="0"/>
              <w:jc w:val="center"/>
              <w:rPr>
                <w:b/>
                <w:bCs/>
                <w:color w:val="auto"/>
                <w:kern w:val="0"/>
                <w:highlight w:val="none"/>
              </w:rPr>
            </w:pPr>
            <w:r>
              <w:rPr>
                <w:rFonts w:hint="eastAsia"/>
                <w:b/>
                <w:bCs/>
                <w:color w:val="auto"/>
                <w:kern w:val="0"/>
                <w:highlight w:val="none"/>
              </w:rPr>
              <w:t>施工期</w:t>
            </w:r>
            <w:r>
              <w:rPr>
                <w:b/>
                <w:bCs/>
                <w:color w:val="auto"/>
                <w:kern w:val="0"/>
                <w:highlight w:val="none"/>
              </w:rPr>
              <w:t>环境影响和保护措施</w:t>
            </w:r>
          </w:p>
        </w:tc>
        <w:tc>
          <w:tcPr>
            <w:tcW w:w="8266" w:type="dxa"/>
            <w:vAlign w:val="center"/>
          </w:tcPr>
          <w:p w14:paraId="1D6621F8">
            <w:pPr>
              <w:spacing w:line="360" w:lineRule="auto"/>
              <w:ind w:firstLine="480"/>
              <w:rPr>
                <w:color w:val="auto"/>
                <w:highlight w:val="none"/>
              </w:rPr>
            </w:pPr>
            <w:r>
              <w:rPr>
                <w:rFonts w:hint="eastAsia"/>
                <w:color w:val="auto"/>
              </w:rPr>
              <w:t>本项目</w:t>
            </w:r>
            <w:r>
              <w:rPr>
                <w:rFonts w:hint="eastAsia"/>
                <w:color w:val="auto"/>
                <w:lang w:val="en-US" w:eastAsia="zh-CN"/>
              </w:rPr>
              <w:t>在</w:t>
            </w:r>
            <w:r>
              <w:rPr>
                <w:rFonts w:hint="eastAsia"/>
                <w:color w:val="auto"/>
              </w:rPr>
              <w:t>现有</w:t>
            </w:r>
            <w:r>
              <w:rPr>
                <w:rFonts w:hint="eastAsia"/>
                <w:color w:val="auto"/>
                <w:lang w:val="en-US" w:eastAsia="zh-CN"/>
              </w:rPr>
              <w:t>厂房</w:t>
            </w:r>
            <w:r>
              <w:rPr>
                <w:rFonts w:hint="eastAsia"/>
                <w:color w:val="auto"/>
              </w:rPr>
              <w:t>中</w:t>
            </w:r>
            <w:r>
              <w:rPr>
                <w:rFonts w:hint="eastAsia"/>
                <w:color w:val="auto"/>
                <w:lang w:val="en-US" w:eastAsia="zh-CN"/>
              </w:rPr>
              <w:t>建设</w:t>
            </w:r>
            <w:r>
              <w:rPr>
                <w:rFonts w:hint="eastAsia"/>
                <w:color w:val="auto"/>
              </w:rPr>
              <w:t>，现有厂房已经建成，施工期涉及的施工内容主要为设备安装、调试，不涉及室外土建施工，施工周期较短，在施工过程中产生的污染物相对较少，对周围环境的影响较小。</w:t>
            </w:r>
          </w:p>
        </w:tc>
      </w:tr>
      <w:tr w14:paraId="26DA34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5" w:type="dxa"/>
            <w:tcMar>
              <w:left w:w="28" w:type="dxa"/>
              <w:right w:w="28" w:type="dxa"/>
            </w:tcMar>
            <w:vAlign w:val="center"/>
          </w:tcPr>
          <w:p w14:paraId="47F1C967">
            <w:pPr>
              <w:adjustRightInd w:val="0"/>
              <w:snapToGrid w:val="0"/>
              <w:spacing w:line="240" w:lineRule="auto"/>
              <w:ind w:firstLine="0" w:firstLineChars="0"/>
              <w:jc w:val="center"/>
              <w:rPr>
                <w:b/>
                <w:bCs/>
                <w:color w:val="auto"/>
                <w:kern w:val="0"/>
                <w:highlight w:val="none"/>
              </w:rPr>
            </w:pPr>
            <w:r>
              <w:rPr>
                <w:b/>
                <w:bCs/>
                <w:color w:val="auto"/>
                <w:kern w:val="0"/>
                <w:highlight w:val="none"/>
              </w:rPr>
              <w:t>运营期环境影响和保护措施</w:t>
            </w:r>
          </w:p>
        </w:tc>
        <w:tc>
          <w:tcPr>
            <w:tcW w:w="8266" w:type="dxa"/>
            <w:vAlign w:val="center"/>
          </w:tcPr>
          <w:p w14:paraId="475C55F1">
            <w:pPr>
              <w:numPr>
                <w:ilvl w:val="0"/>
                <w:numId w:val="0"/>
              </w:numPr>
              <w:ind w:left="-62" w:leftChars="0" w:firstLine="482" w:firstLineChars="200"/>
              <w:rPr>
                <w:b/>
                <w:bCs/>
                <w:color w:val="auto"/>
                <w:highlight w:val="none"/>
              </w:rPr>
            </w:pPr>
            <w:r>
              <w:rPr>
                <w:rFonts w:ascii="Times New Roman" w:hAnsi="Times New Roman" w:eastAsia="宋体" w:cs="Times New Roman"/>
                <w:b/>
                <w:bCs/>
                <w:color w:val="auto"/>
                <w:kern w:val="2"/>
                <w:sz w:val="24"/>
                <w:szCs w:val="24"/>
                <w:highlight w:val="none"/>
                <w:lang w:val="en-US" w:eastAsia="zh-CN" w:bidi="ar-SA"/>
              </w:rPr>
              <w:t>1</w:t>
            </w:r>
            <w:r>
              <w:rPr>
                <w:rFonts w:hint="eastAsia" w:cs="Times New Roman"/>
                <w:b/>
                <w:bCs/>
                <w:color w:val="auto"/>
                <w:kern w:val="2"/>
                <w:sz w:val="24"/>
                <w:szCs w:val="24"/>
                <w:highlight w:val="none"/>
                <w:lang w:val="en-US" w:eastAsia="zh-CN" w:bidi="ar-SA"/>
              </w:rPr>
              <w:t>.</w:t>
            </w:r>
            <w:r>
              <w:rPr>
                <w:b/>
                <w:bCs/>
                <w:color w:val="auto"/>
                <w:highlight w:val="none"/>
              </w:rPr>
              <w:t>废气</w:t>
            </w:r>
          </w:p>
          <w:p w14:paraId="637331B5">
            <w:pPr>
              <w:ind w:firstLine="482"/>
              <w:rPr>
                <w:rFonts w:hint="eastAsia"/>
                <w:b/>
                <w:bCs/>
                <w:color w:val="auto"/>
                <w:highlight w:val="none"/>
              </w:rPr>
            </w:pPr>
            <w:r>
              <w:rPr>
                <w:rFonts w:hint="eastAsia"/>
                <w:b/>
                <w:bCs/>
                <w:color w:val="auto"/>
                <w:highlight w:val="none"/>
              </w:rPr>
              <w:t>（1）源强分析</w:t>
            </w:r>
          </w:p>
          <w:p w14:paraId="4D7AF6C5">
            <w:pPr>
              <w:pStyle w:val="93"/>
              <w:keepNext w:val="0"/>
              <w:keepLines w:val="0"/>
              <w:suppressLineNumbers w:val="0"/>
              <w:spacing w:before="0" w:beforeAutospacing="0" w:after="0" w:afterAutospacing="0" w:line="480" w:lineRule="exact"/>
              <w:ind w:left="0" w:right="0" w:firstLineChars="200"/>
              <w:rPr>
                <w:rFonts w:hint="default"/>
                <w:b/>
                <w:bCs/>
                <w:color w:val="auto"/>
                <w:szCs w:val="20"/>
                <w:highlight w:val="none"/>
                <w:lang w:val="en-US" w:eastAsia="zh-CN"/>
              </w:rPr>
            </w:pPr>
            <w:r>
              <w:rPr>
                <w:rFonts w:hint="eastAsia"/>
                <w:b/>
                <w:bCs/>
                <w:color w:val="auto"/>
                <w:szCs w:val="20"/>
                <w:highlight w:val="none"/>
                <w:lang w:val="en-US" w:eastAsia="zh-CN"/>
              </w:rPr>
              <w:t>1）电池燃烧废气G1</w:t>
            </w:r>
          </w:p>
          <w:p w14:paraId="6438F346">
            <w:pPr>
              <w:pStyle w:val="93"/>
              <w:keepNext w:val="0"/>
              <w:keepLines w:val="0"/>
              <w:suppressLineNumbers w:val="0"/>
              <w:spacing w:before="0" w:beforeAutospacing="0" w:after="0" w:afterAutospacing="0" w:line="480" w:lineRule="exact"/>
              <w:ind w:left="0" w:right="0" w:firstLineChars="200"/>
              <w:rPr>
                <w:rFonts w:hint="default"/>
                <w:color w:val="auto"/>
                <w:szCs w:val="20"/>
                <w:highlight w:val="none"/>
                <w:lang w:val="en-US" w:eastAsia="zh-CN"/>
              </w:rPr>
            </w:pPr>
            <w:r>
              <w:rPr>
                <w:rFonts w:hint="eastAsia"/>
                <w:color w:val="auto"/>
                <w:szCs w:val="20"/>
                <w:highlight w:val="none"/>
                <w:lang w:val="en-US" w:eastAsia="zh-CN"/>
              </w:rPr>
              <w:t>本次评价考虑锂离子电池燃烧废气污染物主要为颗粒物、非甲烷总烃、氟化物，各污染物产生量计算如下：</w:t>
            </w:r>
          </w:p>
          <w:p w14:paraId="59A9F8FC">
            <w:pPr>
              <w:pStyle w:val="93"/>
              <w:keepNext w:val="0"/>
              <w:keepLines w:val="0"/>
              <w:suppressLineNumbers w:val="0"/>
              <w:spacing w:before="0" w:beforeAutospacing="0" w:after="0" w:afterAutospacing="0" w:line="480" w:lineRule="exact"/>
              <w:ind w:left="0" w:right="0" w:firstLineChars="200"/>
              <w:rPr>
                <w:rFonts w:hint="default"/>
                <w:color w:val="auto"/>
                <w:szCs w:val="20"/>
                <w:highlight w:val="none"/>
                <w:lang w:val="en-US" w:eastAsia="zh-CN"/>
              </w:rPr>
            </w:pPr>
            <w:r>
              <w:rPr>
                <w:rFonts w:hint="eastAsia"/>
                <w:color w:val="auto"/>
                <w:szCs w:val="20"/>
                <w:highlight w:val="none"/>
                <w:lang w:val="en-US" w:eastAsia="zh-CN"/>
              </w:rPr>
              <w:t>本项目使用的主要是锂离子电池中的三元锂电池</w:t>
            </w:r>
            <w:r>
              <w:rPr>
                <w:rFonts w:hint="eastAsia"/>
                <w:color w:val="auto"/>
                <w:szCs w:val="20"/>
                <w:highlight w:val="none"/>
                <w:lang w:val="en-US" w:eastAsia="zh-CN"/>
              </w:rPr>
              <w:t>，</w:t>
            </w:r>
            <w:r>
              <w:rPr>
                <w:rFonts w:hint="eastAsia"/>
                <w:color w:val="auto"/>
                <w:szCs w:val="20"/>
                <w:highlight w:val="none"/>
                <w:lang w:val="en-US" w:eastAsia="zh-CN"/>
              </w:rPr>
              <w:t>三元锂</w:t>
            </w:r>
            <w:r>
              <w:rPr>
                <w:rFonts w:hint="eastAsia"/>
                <w:color w:val="auto"/>
                <w:szCs w:val="20"/>
                <w:highlight w:val="none"/>
                <w:lang w:val="en-US" w:eastAsia="zh-CN"/>
              </w:rPr>
              <w:t>电池由正极材料、负极材料、电解液、隔膜、外壳和其他组件组成，电池生产过程中使用胶黏剂（</w:t>
            </w:r>
            <w:r>
              <w:rPr>
                <w:rFonts w:hint="default" w:ascii="Times New Roman" w:hAnsi="Times New Roman" w:eastAsia="宋体" w:cs="Times New Roman"/>
                <w:color w:val="auto"/>
                <w:sz w:val="24"/>
                <w:highlight w:val="none"/>
              </w:rPr>
              <w:t>PVDF、SBR</w:t>
            </w:r>
            <w:r>
              <w:rPr>
                <w:rFonts w:hint="eastAsia" w:cs="Times New Roman"/>
                <w:color w:val="auto"/>
                <w:sz w:val="24"/>
                <w:highlight w:val="none"/>
                <w:lang w:val="en-US" w:eastAsia="zh-CN"/>
              </w:rPr>
              <w:t>等</w:t>
            </w:r>
            <w:r>
              <w:rPr>
                <w:rFonts w:hint="eastAsia"/>
                <w:color w:val="auto"/>
                <w:szCs w:val="20"/>
                <w:highlight w:val="none"/>
                <w:lang w:val="en-US" w:eastAsia="zh-CN"/>
              </w:rPr>
              <w:t>）将活性物质</w:t>
            </w:r>
            <w:sdt>
              <w:sdtPr>
                <w:rPr>
                  <w:color w:val="auto"/>
                </w:rPr>
                <w:alias w:val="非推荐词"/>
                <w:tag w:val="reviewtag_auto"/>
                <w:id w:val="1062845"/>
              </w:sdtPr>
              <w:sdtEndPr>
                <w:rPr>
                  <w:color w:val="auto"/>
                </w:rPr>
              </w:sdtEndPr>
              <w:sdtContent>
                <w:bookmarkStart w:id="123" w:name="bkReivew1062845"/>
                <w:r>
                  <w:rPr>
                    <w:rFonts w:hint="eastAsia"/>
                    <w:color w:val="auto"/>
                    <w:szCs w:val="20"/>
                    <w:highlight w:val="none"/>
                    <w:lang w:val="en-US" w:eastAsia="zh-CN"/>
                  </w:rPr>
                  <w:t>粘接</w:t>
                </w:r>
                <w:bookmarkEnd w:id="123"/>
              </w:sdtContent>
            </w:sdt>
            <w:r>
              <w:rPr>
                <w:rFonts w:hint="eastAsia"/>
                <w:color w:val="auto"/>
                <w:szCs w:val="20"/>
                <w:highlight w:val="none"/>
                <w:lang w:val="en-US" w:eastAsia="zh-CN"/>
              </w:rPr>
              <w:t>在铜箔或铝箔上。</w:t>
            </w:r>
          </w:p>
          <w:p w14:paraId="115A0B57">
            <w:pPr>
              <w:pStyle w:val="93"/>
              <w:keepNext w:val="0"/>
              <w:keepLines w:val="0"/>
              <w:suppressLineNumbers w:val="0"/>
              <w:spacing w:before="0" w:beforeAutospacing="0" w:after="0" w:afterAutospacing="0" w:line="480" w:lineRule="exact"/>
              <w:ind w:left="0" w:right="0" w:firstLineChars="200"/>
              <w:rPr>
                <w:rFonts w:hint="eastAsia"/>
                <w:color w:val="auto"/>
                <w:szCs w:val="20"/>
                <w:highlight w:val="none"/>
                <w:lang w:val="en-US" w:eastAsia="zh-CN"/>
              </w:rPr>
            </w:pPr>
            <w:r>
              <w:rPr>
                <w:rFonts w:hint="eastAsia"/>
                <w:color w:val="auto"/>
                <w:szCs w:val="20"/>
                <w:highlight w:val="none"/>
                <w:lang w:val="en-US" w:eastAsia="zh-CN"/>
              </w:rPr>
              <w:t>本次评价选取典型磷酸铁锂电池组成成分进行分析：</w:t>
            </w:r>
            <w:r>
              <w:rPr>
                <w:rFonts w:hint="eastAsia"/>
                <w:color w:val="auto"/>
                <w:szCs w:val="20"/>
                <w:highlight w:val="none"/>
                <w:lang w:val="en-US" w:eastAsia="zh-CN"/>
              </w:rPr>
              <w:t>正极40%（其中镍钴锰酸锂92%、PVDF 5%、导电炭黑3%）、负极26%（石墨：95%、导电剂1.5%、SBR 2.5%、</w:t>
            </w:r>
            <w:r>
              <w:rPr>
                <w:rFonts w:hint="default" w:ascii="Times New Roman" w:hAnsi="Times New Roman" w:eastAsia="宋体" w:cs="Times New Roman"/>
                <w:i w:val="0"/>
                <w:iCs w:val="0"/>
                <w:caps w:val="0"/>
                <w:color w:val="auto"/>
                <w:spacing w:val="0"/>
                <w:sz w:val="24"/>
                <w:szCs w:val="24"/>
                <w:shd w:val="clear" w:fill="FFFFFF"/>
              </w:rPr>
              <w:t>CMC羧甲基纤维素钠</w:t>
            </w:r>
            <w:r>
              <w:rPr>
                <w:rFonts w:hint="default" w:ascii="Times New Roman" w:hAnsi="Times New Roman" w:eastAsia="宋体" w:cs="Times New Roman"/>
                <w:color w:val="auto"/>
                <w:sz w:val="24"/>
                <w:szCs w:val="24"/>
                <w:highlight w:val="none"/>
                <w:lang w:val="en-US" w:eastAsia="zh-CN"/>
              </w:rPr>
              <w:t>1%）</w:t>
            </w:r>
            <w:r>
              <w:rPr>
                <w:rFonts w:hint="eastAsia"/>
                <w:color w:val="auto"/>
                <w:szCs w:val="20"/>
                <w:highlight w:val="none"/>
                <w:lang w:val="en-US" w:eastAsia="zh-CN"/>
              </w:rPr>
              <w:t>、电解液14%（有机溶剂92%、电解质盐</w:t>
            </w:r>
            <w:sdt>
              <w:sdtPr>
                <w:rPr>
                  <w:color w:val="auto"/>
                </w:rPr>
                <w:alias w:val="标点符号错误"/>
                <w:tag w:val="reviewtag_auto"/>
                <w:id w:val="147480215"/>
              </w:sdtPr>
              <w:sdtEndPr>
                <w:rPr>
                  <w:color w:val="auto"/>
                </w:rPr>
              </w:sdtEndPr>
              <w:sdtContent>
                <w:bookmarkStart w:id="124" w:name="bkReivew3162135"/>
                <w:r>
                  <w:rPr>
                    <w:rFonts w:hint="eastAsia"/>
                    <w:color w:val="auto"/>
                    <w:szCs w:val="20"/>
                    <w:highlight w:val="none"/>
                    <w:lang w:val="en-US" w:eastAsia="zh-CN"/>
                  </w:rPr>
                  <w:t>（</w:t>
                </w:r>
                <w:bookmarkEnd w:id="124"/>
              </w:sdtContent>
            </w:sdt>
            <w:r>
              <w:rPr>
                <w:rFonts w:hint="default" w:ascii="Times New Roman" w:hAnsi="Times New Roman" w:eastAsia="宋体" w:cs="Times New Roman"/>
                <w:color w:val="auto"/>
                <w:sz w:val="24"/>
                <w:highlight w:val="none"/>
              </w:rPr>
              <w:t>LiPF</w:t>
            </w:r>
            <w:r>
              <w:rPr>
                <w:rFonts w:hint="default" w:ascii="Times New Roman" w:hAnsi="Times New Roman" w:eastAsia="宋体" w:cs="Times New Roman"/>
                <w:color w:val="auto"/>
                <w:sz w:val="24"/>
                <w:highlight w:val="none"/>
                <w:vertAlign w:val="subscript"/>
              </w:rPr>
              <w:t>6</w:t>
            </w:r>
            <w:r>
              <w:rPr>
                <w:rFonts w:hint="eastAsia"/>
                <w:color w:val="auto"/>
                <w:szCs w:val="20"/>
                <w:highlight w:val="none"/>
                <w:lang w:val="en-US" w:eastAsia="zh-CN"/>
              </w:rPr>
              <w:t>等</w:t>
            </w:r>
            <w:sdt>
              <w:sdtPr>
                <w:rPr>
                  <w:color w:val="auto"/>
                </w:rPr>
                <w:alias w:val="标点符号错误"/>
                <w:tag w:val="reviewtag_auto"/>
                <w:id w:val="147471035"/>
              </w:sdtPr>
              <w:sdtEndPr>
                <w:rPr>
                  <w:color w:val="auto"/>
                </w:rPr>
              </w:sdtEndPr>
              <w:sdtContent>
                <w:bookmarkStart w:id="125" w:name="bkReivew1003433"/>
                <w:r>
                  <w:rPr>
                    <w:rFonts w:hint="eastAsia"/>
                    <w:color w:val="auto"/>
                    <w:szCs w:val="20"/>
                    <w:highlight w:val="none"/>
                    <w:lang w:val="en-US" w:eastAsia="zh-CN"/>
                  </w:rPr>
                  <w:t>）</w:t>
                </w:r>
                <w:bookmarkEnd w:id="125"/>
              </w:sdtContent>
            </w:sdt>
            <w:r>
              <w:rPr>
                <w:rFonts w:hint="eastAsia"/>
                <w:color w:val="auto"/>
                <w:szCs w:val="20"/>
                <w:highlight w:val="none"/>
                <w:lang w:val="en-US" w:eastAsia="zh-CN"/>
              </w:rPr>
              <w:t>6%、添加剂2%）、外壳13%（铝壳）、隔膜7%（PE、PP-PE）。</w:t>
            </w:r>
          </w:p>
          <w:p w14:paraId="5DCEDA22">
            <w:pPr>
              <w:pStyle w:val="93"/>
              <w:keepNext w:val="0"/>
              <w:keepLines w:val="0"/>
              <w:suppressLineNumbers w:val="0"/>
              <w:spacing w:before="0" w:beforeAutospacing="0" w:after="0" w:afterAutospacing="0" w:line="480" w:lineRule="exact"/>
              <w:ind w:left="0" w:right="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电解质</w:t>
            </w:r>
            <w:r>
              <w:rPr>
                <w:rFonts w:hint="eastAsia" w:ascii="Times New Roman" w:hAnsi="Times New Roman" w:eastAsia="宋体" w:cs="Times New Roman"/>
                <w:color w:val="auto"/>
                <w:sz w:val="24"/>
                <w:highlight w:val="none"/>
                <w:lang w:val="en-US" w:eastAsia="zh-CN"/>
              </w:rPr>
              <w:t>盐</w:t>
            </w:r>
            <w:r>
              <w:rPr>
                <w:rFonts w:hint="default" w:ascii="Times New Roman" w:hAnsi="Times New Roman" w:eastAsia="宋体" w:cs="Times New Roman"/>
                <w:color w:val="auto"/>
                <w:sz w:val="24"/>
                <w:highlight w:val="none"/>
              </w:rPr>
              <w:t>LiPF</w:t>
            </w:r>
            <w:r>
              <w:rPr>
                <w:rFonts w:hint="default" w:ascii="Times New Roman" w:hAnsi="Times New Roman" w:eastAsia="宋体" w:cs="Times New Roman"/>
                <w:color w:val="auto"/>
                <w:sz w:val="24"/>
                <w:highlight w:val="none"/>
                <w:vertAlign w:val="subscript"/>
              </w:rPr>
              <w:t>6</w:t>
            </w:r>
            <w:r>
              <w:rPr>
                <w:rFonts w:hint="default" w:ascii="Times New Roman" w:hAnsi="Times New Roman" w:eastAsia="宋体" w:cs="Times New Roman"/>
                <w:color w:val="auto"/>
                <w:sz w:val="24"/>
                <w:highlight w:val="none"/>
              </w:rPr>
              <w:t>受热分解成PF</w:t>
            </w:r>
            <w:r>
              <w:rPr>
                <w:rFonts w:hint="default" w:ascii="Times New Roman" w:hAnsi="Times New Roman" w:eastAsia="宋体" w:cs="Times New Roman"/>
                <w:color w:val="auto"/>
                <w:sz w:val="24"/>
                <w:highlight w:val="none"/>
                <w:vertAlign w:val="subscript"/>
              </w:rPr>
              <w:t>5</w:t>
            </w:r>
            <w:r>
              <w:rPr>
                <w:rFonts w:hint="default" w:ascii="Times New Roman" w:hAnsi="Times New Roman" w:eastAsia="宋体" w:cs="Times New Roman"/>
                <w:color w:val="auto"/>
                <w:sz w:val="24"/>
                <w:highlight w:val="none"/>
              </w:rPr>
              <w:t>和LiF，PF</w:t>
            </w:r>
            <w:r>
              <w:rPr>
                <w:rFonts w:hint="default" w:ascii="Times New Roman" w:hAnsi="Times New Roman" w:eastAsia="宋体" w:cs="Times New Roman"/>
                <w:color w:val="auto"/>
                <w:sz w:val="24"/>
                <w:highlight w:val="none"/>
                <w:vertAlign w:val="subscript"/>
              </w:rPr>
              <w:t>5</w:t>
            </w:r>
            <w:r>
              <w:rPr>
                <w:rFonts w:hint="default" w:ascii="Times New Roman" w:hAnsi="Times New Roman" w:eastAsia="宋体" w:cs="Times New Roman"/>
                <w:color w:val="auto"/>
                <w:sz w:val="24"/>
                <w:highlight w:val="none"/>
              </w:rPr>
              <w:t>不稳定，会与空气中的水反应生成磷酸和氟化物</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胶黏剂</w:t>
            </w:r>
            <w:r>
              <w:rPr>
                <w:rFonts w:hint="eastAsia" w:cs="Times New Roman"/>
                <w:color w:val="auto"/>
                <w:sz w:val="24"/>
                <w:highlight w:val="none"/>
                <w:lang w:val="en-US" w:eastAsia="zh-CN"/>
              </w:rPr>
              <w:t>为</w:t>
            </w:r>
            <w:r>
              <w:rPr>
                <w:rFonts w:hint="default" w:ascii="Times New Roman" w:hAnsi="Times New Roman" w:eastAsia="宋体" w:cs="Times New Roman"/>
                <w:color w:val="auto"/>
                <w:sz w:val="24"/>
                <w:highlight w:val="none"/>
              </w:rPr>
              <w:t>PVDF、SBR</w:t>
            </w:r>
            <w:r>
              <w:rPr>
                <w:rFonts w:hint="eastAsia" w:cs="Times New Roman"/>
                <w:color w:val="auto"/>
                <w:sz w:val="24"/>
                <w:highlight w:val="none"/>
                <w:lang w:eastAsia="zh-CN"/>
              </w:rPr>
              <w:t>、</w:t>
            </w:r>
            <w:r>
              <w:rPr>
                <w:rFonts w:hint="default" w:ascii="Times New Roman" w:hAnsi="Times New Roman" w:eastAsia="宋体" w:cs="Times New Roman"/>
                <w:i w:val="0"/>
                <w:iCs w:val="0"/>
                <w:caps w:val="0"/>
                <w:color w:val="auto"/>
                <w:spacing w:val="0"/>
                <w:sz w:val="24"/>
                <w:szCs w:val="24"/>
                <w:shd w:val="clear" w:fill="FFFFFF"/>
              </w:rPr>
              <w:t>CMC</w:t>
            </w:r>
            <w:r>
              <w:rPr>
                <w:rFonts w:hint="eastAsia"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胶黏剂PVDF在高温下氧化分解</w:t>
            </w:r>
            <w:r>
              <w:rPr>
                <w:rFonts w:hint="eastAsia" w:ascii="Times New Roman" w:hAnsi="Times New Roman" w:eastAsia="宋体" w:cs="Times New Roman"/>
                <w:color w:val="auto"/>
                <w:sz w:val="24"/>
                <w:highlight w:val="none"/>
                <w:lang w:val="en-US" w:eastAsia="zh-CN"/>
              </w:rPr>
              <w:t>产生</w:t>
            </w:r>
            <w:r>
              <w:rPr>
                <w:rFonts w:hint="default" w:ascii="Times New Roman" w:hAnsi="Times New Roman" w:eastAsia="宋体" w:cs="Times New Roman"/>
                <w:color w:val="auto"/>
                <w:sz w:val="24"/>
                <w:highlight w:val="none"/>
              </w:rPr>
              <w:t>二氧化碳、氟化物</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SBR</w:t>
            </w:r>
            <w:r>
              <w:rPr>
                <w:rFonts w:hint="eastAsia" w:cs="Times New Roman"/>
                <w:color w:val="auto"/>
                <w:sz w:val="24"/>
                <w:highlight w:val="none"/>
                <w:lang w:eastAsia="zh-CN"/>
              </w:rPr>
              <w:t>、</w:t>
            </w:r>
            <w:r>
              <w:rPr>
                <w:rFonts w:hint="default" w:ascii="Times New Roman" w:hAnsi="Times New Roman" w:eastAsia="宋体" w:cs="Times New Roman"/>
                <w:i w:val="0"/>
                <w:iCs w:val="0"/>
                <w:caps w:val="0"/>
                <w:color w:val="auto"/>
                <w:spacing w:val="0"/>
                <w:sz w:val="24"/>
                <w:szCs w:val="24"/>
                <w:shd w:val="clear" w:fill="FFFFFF"/>
              </w:rPr>
              <w:t>CMC</w:t>
            </w:r>
            <w:r>
              <w:rPr>
                <w:rFonts w:hint="default" w:ascii="Times New Roman" w:hAnsi="Times New Roman" w:eastAsia="宋体" w:cs="Times New Roman"/>
                <w:color w:val="auto"/>
                <w:sz w:val="24"/>
                <w:highlight w:val="none"/>
              </w:rPr>
              <w:t>在高温下氧化分解</w:t>
            </w:r>
            <w:r>
              <w:rPr>
                <w:rFonts w:hint="eastAsia" w:ascii="Times New Roman" w:hAnsi="Times New Roman" w:eastAsia="宋体" w:cs="Times New Roman"/>
                <w:color w:val="auto"/>
                <w:sz w:val="24"/>
                <w:highlight w:val="none"/>
                <w:lang w:val="en-US" w:eastAsia="zh-CN"/>
              </w:rPr>
              <w:t>产生</w:t>
            </w:r>
            <w:r>
              <w:rPr>
                <w:rFonts w:hint="default" w:ascii="Times New Roman" w:hAnsi="Times New Roman" w:eastAsia="宋体" w:cs="Times New Roman"/>
                <w:color w:val="auto"/>
                <w:sz w:val="24"/>
                <w:highlight w:val="none"/>
              </w:rPr>
              <w:t>二氧化碳</w:t>
            </w:r>
            <w:r>
              <w:rPr>
                <w:rFonts w:hint="eastAsia" w:ascii="Times New Roman" w:hAnsi="Times New Roman" w:eastAsia="宋体" w:cs="Times New Roman"/>
                <w:color w:val="auto"/>
                <w:sz w:val="24"/>
                <w:highlight w:val="none"/>
                <w:lang w:val="en-US" w:eastAsia="zh-CN"/>
              </w:rPr>
              <w:t>和水</w:t>
            </w:r>
            <w:r>
              <w:rPr>
                <w:rFonts w:hint="eastAsia" w:ascii="Times New Roman" w:hAnsi="Times New Roman" w:eastAsia="宋体" w:cs="Times New Roman"/>
                <w:color w:val="auto"/>
                <w:sz w:val="24"/>
                <w:highlight w:val="none"/>
                <w:lang w:eastAsia="zh-CN"/>
              </w:rPr>
              <w:t>。</w:t>
            </w:r>
          </w:p>
          <w:p w14:paraId="0E642881">
            <w:pPr>
              <w:pStyle w:val="93"/>
              <w:keepNext w:val="0"/>
              <w:keepLines w:val="0"/>
              <w:suppressLineNumbers w:val="0"/>
              <w:spacing w:before="0" w:beforeAutospacing="0" w:after="0" w:afterAutospacing="0" w:line="480" w:lineRule="exact"/>
              <w:ind w:left="0" w:right="0" w:firstLineChars="200"/>
              <w:rPr>
                <w:rFonts w:hint="default" w:ascii="Times New Roman" w:hAnsi="Times New Roman" w:eastAsia="宋体" w:cs="Times New Roman"/>
                <w:color w:val="auto"/>
                <w:sz w:val="24"/>
                <w:highlight w:val="none"/>
                <w:lang w:val="en-US" w:eastAsia="zh-CN"/>
              </w:rPr>
            </w:pPr>
            <w:r>
              <w:rPr>
                <w:rFonts w:hint="eastAsia"/>
                <w:color w:val="auto"/>
                <w:szCs w:val="20"/>
                <w:highlight w:val="none"/>
                <w:lang w:val="en-US" w:eastAsia="zh-CN"/>
              </w:rPr>
              <w:t>电解质</w:t>
            </w:r>
            <w:r>
              <w:rPr>
                <w:rFonts w:hint="default" w:ascii="Times New Roman" w:hAnsi="Times New Roman" w:eastAsia="宋体" w:cs="Times New Roman"/>
                <w:color w:val="auto"/>
                <w:sz w:val="24"/>
                <w:highlight w:val="none"/>
              </w:rPr>
              <w:t>LiPF</w:t>
            </w:r>
            <w:r>
              <w:rPr>
                <w:rFonts w:hint="default" w:ascii="Times New Roman" w:hAnsi="Times New Roman" w:eastAsia="宋体" w:cs="Times New Roman"/>
                <w:color w:val="auto"/>
                <w:sz w:val="24"/>
                <w:highlight w:val="none"/>
                <w:vertAlign w:val="subscript"/>
              </w:rPr>
              <w:t>6</w:t>
            </w:r>
            <w:r>
              <w:rPr>
                <w:rFonts w:hint="default" w:ascii="Times New Roman" w:hAnsi="Times New Roman" w:eastAsia="宋体" w:cs="Times New Roman"/>
                <w:color w:val="auto"/>
                <w:sz w:val="24"/>
                <w:highlight w:val="none"/>
              </w:rPr>
              <w:t>受热分解</w:t>
            </w:r>
            <w:r>
              <w:rPr>
                <w:rFonts w:hint="eastAsia" w:cs="Times New Roman"/>
                <w:color w:val="auto"/>
                <w:sz w:val="24"/>
                <w:highlight w:val="none"/>
                <w:lang w:val="en-US" w:eastAsia="zh-CN"/>
              </w:rPr>
              <w:t>方程式</w:t>
            </w:r>
            <w:r>
              <w:rPr>
                <w:rFonts w:hint="eastAsia" w:ascii="Times New Roman" w:hAnsi="Times New Roman" w:eastAsia="宋体" w:cs="Times New Roman"/>
                <w:color w:val="auto"/>
                <w:sz w:val="24"/>
                <w:highlight w:val="none"/>
                <w:lang w:val="en-US" w:eastAsia="zh-CN"/>
              </w:rPr>
              <w:t>如下：</w:t>
            </w:r>
          </w:p>
          <w:p w14:paraId="752182C7">
            <w:pPr>
              <w:pStyle w:val="93"/>
              <w:keepNext w:val="0"/>
              <w:keepLines w:val="0"/>
              <w:suppressLineNumbers w:val="0"/>
              <w:spacing w:before="0" w:beforeAutospacing="0" w:after="0" w:afterAutospacing="0" w:line="480" w:lineRule="exact"/>
              <w:ind w:left="0" w:right="0" w:firstLineChars="20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i</w:t>
            </w:r>
            <w:r>
              <w:rPr>
                <w:rFonts w:hint="default" w:ascii="Times New Roman" w:hAnsi="Times New Roman" w:eastAsia="宋体" w:cs="Times New Roman"/>
                <w:color w:val="auto"/>
                <w:sz w:val="24"/>
                <w:highlight w:val="none"/>
              </w:rPr>
              <w:t>PF</w:t>
            </w:r>
            <w:r>
              <w:rPr>
                <w:rFonts w:hint="default" w:ascii="Times New Roman" w:hAnsi="Times New Roman" w:eastAsia="宋体" w:cs="Times New Roman"/>
                <w:color w:val="auto"/>
                <w:sz w:val="24"/>
                <w:highlight w:val="none"/>
                <w:vertAlign w:val="subscript"/>
              </w:rPr>
              <w:t>6</w:t>
            </w:r>
            <w:r>
              <w:rPr>
                <w:rFonts w:hint="default" w:ascii="Times New Roman" w:hAnsi="Times New Roman" w:eastAsia="宋体" w:cs="Times New Roman"/>
                <w:color w:val="auto"/>
                <w:sz w:val="24"/>
                <w:highlight w:val="none"/>
              </w:rPr>
              <w:t xml:space="preserve"> </w:t>
            </w:r>
            <m:oMath>
              <m:f>
                <m:fPr>
                  <m:ctrlPr>
                    <w:rPr>
                      <w:rFonts w:hint="default" w:ascii="Cambria Math" w:hAnsi="Cambria Math" w:eastAsia="宋体" w:cs="Times New Roman"/>
                      <w:color w:val="auto"/>
                      <w:sz w:val="24"/>
                      <w:highlight w:val="none"/>
                    </w:rPr>
                  </m:ctrlPr>
                </m:fPr>
                <m:num>
                  <m:r>
                    <m:rPr>
                      <m:sty m:val="p"/>
                    </m:rPr>
                    <w:rPr>
                      <w:rFonts w:hint="default" w:ascii="Cambria Math" w:hAnsi="Cambria Math" w:eastAsia="宋体" w:cs="Times New Roman"/>
                      <w:color w:val="auto"/>
                      <w:sz w:val="24"/>
                      <w:highlight w:val="none"/>
                    </w:rPr>
                    <m:t>180−240℃</m:t>
                  </m:r>
                  <m:ctrlPr>
                    <w:rPr>
                      <w:rFonts w:hint="default" w:ascii="Cambria Math" w:hAnsi="Cambria Math" w:eastAsia="宋体" w:cs="Times New Roman"/>
                      <w:color w:val="auto"/>
                      <w:sz w:val="24"/>
                      <w:highlight w:val="none"/>
                    </w:rPr>
                  </m:ctrlPr>
                </m:num>
                <m:den>
                  <m:r>
                    <m:rPr>
                      <m:sty m:val="p"/>
                    </m:rPr>
                    <w:rPr>
                      <w:rFonts w:hint="default" w:ascii="Cambria Math" w:hAnsi="Cambria Math" w:eastAsia="宋体" w:cs="Times New Roman"/>
                      <w:color w:val="auto"/>
                      <w:sz w:val="24"/>
                      <w:highlight w:val="none"/>
                    </w:rPr>
                    <m:t>∆</m:t>
                  </m:r>
                  <m:ctrlPr>
                    <w:rPr>
                      <w:rFonts w:hint="default" w:ascii="Cambria Math" w:hAnsi="Cambria Math" w:eastAsia="宋体" w:cs="Times New Roman"/>
                      <w:color w:val="auto"/>
                      <w:sz w:val="24"/>
                      <w:highlight w:val="none"/>
                    </w:rPr>
                  </m:ctrlPr>
                </m:den>
              </m:f>
            </m:oMath>
            <w:r>
              <w:rPr>
                <w:rFonts w:hint="default" w:ascii="Times New Roman" w:hAnsi="Times New Roman" w:eastAsia="宋体" w:cs="Times New Roman"/>
                <w:color w:val="auto"/>
                <w:sz w:val="24"/>
                <w:highlight w:val="none"/>
              </w:rPr>
              <w:t>LiF+PF</w:t>
            </w:r>
            <w:r>
              <w:rPr>
                <w:rFonts w:hint="default" w:ascii="Times New Roman" w:hAnsi="Times New Roman" w:eastAsia="宋体" w:cs="Times New Roman"/>
                <w:color w:val="auto"/>
                <w:sz w:val="24"/>
                <w:highlight w:val="none"/>
                <w:vertAlign w:val="subscript"/>
              </w:rPr>
              <w:t>5</w:t>
            </w:r>
            <w:r>
              <w:rPr>
                <w:rFonts w:hint="default" w:ascii="Times New Roman" w:hAnsi="Times New Roman" w:eastAsia="宋体" w:cs="Times New Roman"/>
                <w:color w:val="auto"/>
                <w:sz w:val="24"/>
                <w:highlight w:val="none"/>
              </w:rPr>
              <w:t>↑       PF</w:t>
            </w:r>
            <w:r>
              <w:rPr>
                <w:rFonts w:hint="default" w:ascii="Times New Roman" w:hAnsi="Times New Roman" w:eastAsia="宋体" w:cs="Times New Roman"/>
                <w:color w:val="auto"/>
                <w:sz w:val="24"/>
                <w:highlight w:val="none"/>
                <w:vertAlign w:val="subscript"/>
              </w:rPr>
              <w:t>5</w:t>
            </w:r>
            <w:r>
              <w:rPr>
                <w:rFonts w:hint="default" w:ascii="Times New Roman" w:hAnsi="Times New Roman" w:eastAsia="宋体" w:cs="Times New Roman"/>
                <w:color w:val="auto"/>
                <w:sz w:val="24"/>
                <w:highlight w:val="none"/>
              </w:rPr>
              <w:t>+4H</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O→H</w:t>
            </w:r>
            <w:r>
              <w:rPr>
                <w:rFonts w:hint="default" w:ascii="Times New Roman" w:hAnsi="Times New Roman" w:eastAsia="宋体" w:cs="Times New Roman"/>
                <w:color w:val="auto"/>
                <w:sz w:val="24"/>
                <w:highlight w:val="none"/>
                <w:vertAlign w:val="subscript"/>
              </w:rPr>
              <w:t>3</w:t>
            </w:r>
            <w:r>
              <w:rPr>
                <w:rFonts w:hint="default" w:ascii="Times New Roman" w:hAnsi="Times New Roman" w:eastAsia="宋体" w:cs="Times New Roman"/>
                <w:color w:val="auto"/>
                <w:sz w:val="24"/>
                <w:highlight w:val="none"/>
              </w:rPr>
              <w:t>PO</w:t>
            </w:r>
            <w:r>
              <w:rPr>
                <w:rFonts w:hint="default" w:ascii="Times New Roman" w:hAnsi="Times New Roman" w:eastAsia="宋体" w:cs="Times New Roman"/>
                <w:color w:val="auto"/>
                <w:sz w:val="24"/>
                <w:highlight w:val="none"/>
                <w:vertAlign w:val="subscript"/>
              </w:rPr>
              <w:t>4</w:t>
            </w:r>
            <w:r>
              <w:rPr>
                <w:rFonts w:hint="default" w:ascii="Times New Roman" w:hAnsi="Times New Roman" w:eastAsia="宋体" w:cs="Times New Roman"/>
                <w:color w:val="auto"/>
                <w:sz w:val="24"/>
                <w:highlight w:val="none"/>
              </w:rPr>
              <w:t>↑+5HF↑</w:t>
            </w:r>
          </w:p>
          <w:p w14:paraId="4B72B2C1">
            <w:pPr>
              <w:pStyle w:val="9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分子量 152         26  126        126   72     98    100</w:t>
            </w:r>
          </w:p>
          <w:p w14:paraId="7765F89D">
            <w:pPr>
              <w:pStyle w:val="9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textAlignment w:val="auto"/>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胶黏剂</w:t>
            </w:r>
            <w:r>
              <w:rPr>
                <w:rFonts w:hint="default" w:ascii="Times New Roman" w:hAnsi="Times New Roman" w:eastAsia="宋体" w:cs="Times New Roman"/>
                <w:color w:val="auto"/>
                <w:sz w:val="24"/>
                <w:highlight w:val="none"/>
              </w:rPr>
              <w:t>PVDF</w:t>
            </w:r>
            <w:r>
              <w:rPr>
                <w:rFonts w:hint="eastAsia" w:cs="Times New Roman"/>
                <w:color w:val="auto"/>
                <w:sz w:val="24"/>
                <w:highlight w:val="none"/>
                <w:lang w:val="en-US" w:eastAsia="zh-CN"/>
              </w:rPr>
              <w:t>受热分解</w:t>
            </w:r>
            <w:r>
              <w:rPr>
                <w:rFonts w:hint="default" w:ascii="Times New Roman" w:hAnsi="Times New Roman" w:eastAsia="宋体" w:cs="Times New Roman"/>
                <w:color w:val="auto"/>
                <w:sz w:val="24"/>
                <w:highlight w:val="none"/>
              </w:rPr>
              <w:t>方程式如下：</w:t>
            </w:r>
          </w:p>
          <w:p w14:paraId="550460AA">
            <w:pPr>
              <w:pStyle w:val="9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jc w:val="center"/>
              <w:textAlignment w:val="auto"/>
              <w:rPr>
                <w:rFonts w:hint="default" w:ascii="Times New Roman" w:hAnsi="Times New Roman" w:eastAsia="宋体" w:cs="Times New Roman"/>
                <w:color w:val="auto"/>
                <w:sz w:val="24"/>
                <w:highlight w:val="none"/>
                <w:vertAlign w:val="subscript"/>
              </w:rPr>
            </w:pPr>
            <w:r>
              <w:rPr>
                <w:rFonts w:hint="default" w:ascii="Times New Roman" w:hAnsi="Times New Roman" w:eastAsia="宋体" w:cs="Times New Roman"/>
                <w:color w:val="auto"/>
                <w:sz w:val="24"/>
                <w:highlight w:val="none"/>
              </w:rPr>
              <w:t>(CH</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CF</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)n +</w:t>
            </w:r>
            <w:r>
              <w:rPr>
                <w:rFonts w:hint="eastAsia" w:cs="Times New Roman"/>
                <w:color w:val="auto"/>
                <w:sz w:val="24"/>
                <w:highlight w:val="none"/>
                <w:lang w:val="en-US" w:eastAsia="zh-CN"/>
              </w:rPr>
              <w:t>2n</w:t>
            </w:r>
            <w:r>
              <w:rPr>
                <w:rFonts w:hint="default" w:ascii="Times New Roman" w:hAnsi="Times New Roman" w:eastAsia="宋体" w:cs="Times New Roman"/>
                <w:color w:val="auto"/>
                <w:sz w:val="24"/>
                <w:highlight w:val="none"/>
              </w:rPr>
              <w:t>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 xml:space="preserve"> →2nHF+2nCO</w:t>
            </w:r>
            <w:r>
              <w:rPr>
                <w:rFonts w:hint="default" w:ascii="Times New Roman" w:hAnsi="Times New Roman" w:eastAsia="宋体" w:cs="Times New Roman"/>
                <w:color w:val="auto"/>
                <w:sz w:val="24"/>
                <w:highlight w:val="none"/>
                <w:vertAlign w:val="subscript"/>
              </w:rPr>
              <w:t>2</w:t>
            </w:r>
          </w:p>
          <w:p w14:paraId="14F90FFC">
            <w:pPr>
              <w:pStyle w:val="9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jc w:val="both"/>
              <w:textAlignment w:val="auto"/>
              <w:rPr>
                <w:rFonts w:hint="eastAsia" w:cs="Times New Roman"/>
                <w:color w:val="auto"/>
                <w:sz w:val="24"/>
                <w:highlight w:val="none"/>
                <w:vertAlign w:val="baseline"/>
                <w:lang w:val="en-US" w:eastAsia="zh-CN"/>
              </w:rPr>
            </w:pPr>
            <w:r>
              <w:rPr>
                <w:rFonts w:hint="eastAsia" w:cs="Times New Roman"/>
                <w:color w:val="auto"/>
                <w:sz w:val="24"/>
                <w:highlight w:val="none"/>
                <w:vertAlign w:val="baseline"/>
                <w:lang w:val="en-US" w:eastAsia="zh-CN"/>
              </w:rPr>
              <w:t>分子量                 64n  64n    40n   88n</w:t>
            </w:r>
          </w:p>
          <w:p w14:paraId="32BE6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sz w:val="24"/>
                <w:szCs w:val="24"/>
                <w:highlight w:val="none"/>
              </w:rPr>
            </w:pPr>
            <w:r>
              <w:rPr>
                <w:rFonts w:hint="eastAsia" w:cs="Times New Roman"/>
                <w:color w:val="auto"/>
                <w:sz w:val="24"/>
                <w:highlight w:val="none"/>
                <w:lang w:val="en-US" w:eastAsia="zh-CN"/>
              </w:rPr>
              <w:t>胶黏剂</w:t>
            </w:r>
            <w:r>
              <w:rPr>
                <w:rFonts w:hint="default" w:ascii="Times New Roman" w:hAnsi="Times New Roman" w:eastAsia="宋体" w:cs="Times New Roman"/>
                <w:color w:val="auto"/>
                <w:sz w:val="24"/>
                <w:szCs w:val="24"/>
                <w:highlight w:val="none"/>
              </w:rPr>
              <w:t>SBR</w:t>
            </w:r>
            <w:r>
              <w:rPr>
                <w:rFonts w:hint="eastAsia" w:cs="Times New Roman"/>
                <w:color w:val="auto"/>
                <w:sz w:val="24"/>
                <w:highlight w:val="none"/>
                <w:lang w:val="en-US" w:eastAsia="zh-CN"/>
              </w:rPr>
              <w:t>受热分解</w:t>
            </w:r>
            <w:r>
              <w:rPr>
                <w:rFonts w:hint="default" w:ascii="Times New Roman" w:hAnsi="Times New Roman" w:eastAsia="宋体" w:cs="Times New Roman"/>
                <w:color w:val="auto"/>
                <w:sz w:val="24"/>
                <w:highlight w:val="none"/>
              </w:rPr>
              <w:t>方程式如下</w:t>
            </w:r>
            <w:r>
              <w:rPr>
                <w:rFonts w:hint="default" w:ascii="Times New Roman" w:hAnsi="Times New Roman" w:eastAsia="宋体" w:cs="Times New Roman"/>
                <w:color w:val="auto"/>
                <w:sz w:val="24"/>
                <w:szCs w:val="24"/>
                <w:highlight w:val="none"/>
              </w:rPr>
              <w:t>：</w:t>
            </w:r>
          </w:p>
          <w:p w14:paraId="4ECB611F">
            <w:pPr>
              <w:pStyle w:val="9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jc w:val="center"/>
              <w:textAlignment w:val="auto"/>
              <w:rPr>
                <w:rFonts w:hint="eastAsia" w:cs="Times New Roman"/>
                <w:color w:val="auto"/>
                <w:sz w:val="24"/>
                <w:highlight w:val="none"/>
                <w:lang w:val="en-US" w:eastAsia="zh-CN"/>
              </w:rPr>
            </w:pPr>
            <w:r>
              <w:rPr>
                <w:rFonts w:hint="eastAsia" w:cs="Times New Roman"/>
                <w:color w:val="auto"/>
                <w:sz w:val="24"/>
                <w:highlight w:val="none"/>
                <w:lang w:val="en-US" w:eastAsia="zh-CN"/>
              </w:rPr>
              <w:t>[(C</w:t>
            </w:r>
            <w:r>
              <w:rPr>
                <w:rFonts w:hint="eastAsia" w:cs="Times New Roman"/>
                <w:color w:val="auto"/>
                <w:sz w:val="24"/>
                <w:highlight w:val="none"/>
                <w:vertAlign w:val="subscript"/>
                <w:lang w:val="en-US" w:eastAsia="zh-CN"/>
              </w:rPr>
              <w:t>4</w:t>
            </w:r>
            <w:r>
              <w:rPr>
                <w:rFonts w:hint="eastAsia" w:cs="Times New Roman"/>
                <w:color w:val="auto"/>
                <w:sz w:val="24"/>
                <w:highlight w:val="none"/>
                <w:lang w:val="en-US" w:eastAsia="zh-CN"/>
              </w:rPr>
              <w:t>H</w:t>
            </w:r>
            <w:r>
              <w:rPr>
                <w:rFonts w:hint="eastAsia" w:cs="Times New Roman"/>
                <w:color w:val="auto"/>
                <w:sz w:val="24"/>
                <w:highlight w:val="none"/>
                <w:vertAlign w:val="subscript"/>
                <w:lang w:val="en-US" w:eastAsia="zh-CN"/>
              </w:rPr>
              <w:t>6</w:t>
            </w:r>
            <w:r>
              <w:rPr>
                <w:rFonts w:hint="eastAsia" w:cs="Times New Roman"/>
                <w:color w:val="auto"/>
                <w:sz w:val="24"/>
                <w:highlight w:val="none"/>
                <w:lang w:val="en-US" w:eastAsia="zh-CN"/>
              </w:rPr>
              <w:t>)</w:t>
            </w:r>
            <w:r>
              <w:rPr>
                <w:rFonts w:hint="eastAsia" w:cs="Times New Roman"/>
                <w:color w:val="auto"/>
                <w:sz w:val="24"/>
                <w:highlight w:val="none"/>
                <w:vertAlign w:val="subscript"/>
                <w:lang w:val="en-US" w:eastAsia="zh-CN"/>
              </w:rPr>
              <w:t>m</w:t>
            </w:r>
            <w:r>
              <w:rPr>
                <w:rFonts w:hint="eastAsia" w:cs="Times New Roman"/>
                <w:color w:val="auto"/>
                <w:sz w:val="24"/>
                <w:highlight w:val="none"/>
                <w:lang w:val="en-US" w:eastAsia="zh-CN"/>
              </w:rPr>
              <w:t>(C</w:t>
            </w:r>
            <w:r>
              <w:rPr>
                <w:rFonts w:hint="eastAsia" w:cs="Times New Roman"/>
                <w:color w:val="auto"/>
                <w:sz w:val="24"/>
                <w:highlight w:val="none"/>
                <w:vertAlign w:val="subscript"/>
                <w:lang w:val="en-US" w:eastAsia="zh-CN"/>
              </w:rPr>
              <w:t>6</w:t>
            </w:r>
            <w:r>
              <w:rPr>
                <w:rFonts w:hint="eastAsia" w:cs="Times New Roman"/>
                <w:color w:val="auto"/>
                <w:sz w:val="24"/>
                <w:highlight w:val="none"/>
                <w:lang w:val="en-US" w:eastAsia="zh-CN"/>
              </w:rPr>
              <w:t>H</w:t>
            </w:r>
            <w:r>
              <w:rPr>
                <w:rFonts w:hint="eastAsia" w:cs="Times New Roman"/>
                <w:color w:val="auto"/>
                <w:sz w:val="24"/>
                <w:highlight w:val="none"/>
                <w:vertAlign w:val="subscript"/>
                <w:lang w:val="en-US" w:eastAsia="zh-CN"/>
              </w:rPr>
              <w:t>5</w:t>
            </w:r>
            <w:r>
              <w:rPr>
                <w:rFonts w:hint="eastAsia" w:cs="Times New Roman"/>
                <w:color w:val="auto"/>
                <w:sz w:val="24"/>
                <w:highlight w:val="none"/>
                <w:lang w:val="en-US" w:eastAsia="zh-CN"/>
              </w:rPr>
              <w:t>CHCH</w:t>
            </w:r>
            <w:r>
              <w:rPr>
                <w:rFonts w:hint="eastAsia" w:cs="Times New Roman"/>
                <w:color w:val="auto"/>
                <w:sz w:val="24"/>
                <w:highlight w:val="none"/>
                <w:vertAlign w:val="subscript"/>
                <w:lang w:val="en-US" w:eastAsia="zh-CN"/>
              </w:rPr>
              <w:t>2</w:t>
            </w:r>
            <w:r>
              <w:rPr>
                <w:rFonts w:hint="eastAsia" w:cs="Times New Roman"/>
                <w:color w:val="auto"/>
                <w:sz w:val="24"/>
                <w:highlight w:val="none"/>
                <w:lang w:val="en-US" w:eastAsia="zh-CN"/>
              </w:rPr>
              <w:t>)]n+(5.5mn+10n)O</w:t>
            </w:r>
            <w:r>
              <w:rPr>
                <w:rFonts w:hint="eastAsia" w:cs="Times New Roman"/>
                <w:color w:val="auto"/>
                <w:sz w:val="24"/>
                <w:highlight w:val="none"/>
                <w:vertAlign w:val="subscript"/>
                <w:lang w:val="en-US" w:eastAsia="zh-CN"/>
              </w:rPr>
              <w:t>2</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(4mn+8n)CO</w:t>
            </w:r>
            <w:r>
              <w:rPr>
                <w:rFonts w:hint="eastAsia" w:cs="Times New Roman"/>
                <w:color w:val="auto"/>
                <w:sz w:val="24"/>
                <w:highlight w:val="none"/>
                <w:vertAlign w:val="subscript"/>
                <w:lang w:val="en-US" w:eastAsia="zh-CN"/>
              </w:rPr>
              <w:t>2</w:t>
            </w:r>
            <w:r>
              <w:rPr>
                <w:rFonts w:hint="eastAsia" w:cs="Times New Roman"/>
                <w:color w:val="auto"/>
                <w:sz w:val="24"/>
                <w:highlight w:val="none"/>
                <w:lang w:val="en-US" w:eastAsia="zh-CN"/>
              </w:rPr>
              <w:t>+(3mn+4n)H</w:t>
            </w:r>
            <w:r>
              <w:rPr>
                <w:rFonts w:hint="eastAsia" w:cs="Times New Roman"/>
                <w:color w:val="auto"/>
                <w:sz w:val="24"/>
                <w:highlight w:val="none"/>
                <w:vertAlign w:val="subscript"/>
                <w:lang w:val="en-US" w:eastAsia="zh-CN"/>
              </w:rPr>
              <w:t>2</w:t>
            </w:r>
            <w:r>
              <w:rPr>
                <w:rFonts w:hint="eastAsia" w:cs="Times New Roman"/>
                <w:color w:val="auto"/>
                <w:sz w:val="24"/>
                <w:highlight w:val="none"/>
                <w:lang w:val="en-US" w:eastAsia="zh-CN"/>
              </w:rPr>
              <w:t>O</w:t>
            </w:r>
          </w:p>
          <w:p w14:paraId="2D0C4F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sz w:val="24"/>
                <w:szCs w:val="24"/>
                <w:highlight w:val="none"/>
              </w:rPr>
            </w:pPr>
            <w:r>
              <w:rPr>
                <w:rFonts w:hint="eastAsia" w:cs="Times New Roman"/>
                <w:color w:val="auto"/>
                <w:sz w:val="24"/>
                <w:highlight w:val="none"/>
                <w:lang w:val="en-US" w:eastAsia="zh-CN"/>
              </w:rPr>
              <w:t>胶黏剂</w:t>
            </w:r>
            <w:r>
              <w:rPr>
                <w:rFonts w:hint="eastAsia" w:ascii="Times New Roman" w:hAnsi="Times New Roman" w:eastAsia="宋体" w:cs="Times New Roman"/>
                <w:color w:val="auto"/>
                <w:sz w:val="24"/>
                <w:szCs w:val="24"/>
                <w:highlight w:val="none"/>
                <w:lang w:val="en-US" w:eastAsia="zh-CN"/>
              </w:rPr>
              <w:t>CMC</w:t>
            </w:r>
            <w:r>
              <w:rPr>
                <w:rFonts w:hint="eastAsia" w:cs="Times New Roman"/>
                <w:color w:val="auto"/>
                <w:sz w:val="24"/>
                <w:highlight w:val="none"/>
                <w:lang w:val="en-US" w:eastAsia="zh-CN"/>
              </w:rPr>
              <w:t>受热分解</w:t>
            </w:r>
            <w:r>
              <w:rPr>
                <w:rFonts w:hint="default" w:ascii="Times New Roman" w:hAnsi="Times New Roman" w:eastAsia="宋体" w:cs="Times New Roman"/>
                <w:color w:val="auto"/>
                <w:sz w:val="24"/>
                <w:highlight w:val="none"/>
              </w:rPr>
              <w:t>方程式如下</w:t>
            </w:r>
            <w:r>
              <w:rPr>
                <w:rFonts w:hint="default" w:ascii="Times New Roman" w:hAnsi="Times New Roman" w:eastAsia="宋体" w:cs="Times New Roman"/>
                <w:color w:val="auto"/>
                <w:sz w:val="24"/>
                <w:szCs w:val="24"/>
                <w:highlight w:val="none"/>
              </w:rPr>
              <w:t>：</w:t>
            </w:r>
          </w:p>
          <w:p w14:paraId="0373D91E">
            <w:pPr>
              <w:pStyle w:val="9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0" w:firstLineChars="200"/>
              <w:textAlignment w:val="auto"/>
              <w:rPr>
                <w:rFonts w:hint="default"/>
                <w:color w:val="auto"/>
                <w:szCs w:val="20"/>
                <w:highlight w:val="none"/>
                <w:lang w:val="en-US" w:eastAsia="zh-CN"/>
              </w:rPr>
            </w:pPr>
            <w:r>
              <w:rPr>
                <w:color w:val="auto"/>
              </w:rPr>
              <w:drawing>
                <wp:anchor distT="0" distB="0" distL="114300" distR="114300" simplePos="0" relativeHeight="251672576" behindDoc="0" locked="0" layoutInCell="1" allowOverlap="1">
                  <wp:simplePos x="0" y="0"/>
                  <wp:positionH relativeFrom="column">
                    <wp:posOffset>76200</wp:posOffset>
                  </wp:positionH>
                  <wp:positionV relativeFrom="paragraph">
                    <wp:posOffset>15240</wp:posOffset>
                  </wp:positionV>
                  <wp:extent cx="5048250" cy="323850"/>
                  <wp:effectExtent l="0" t="0" r="0" b="0"/>
                  <wp:wrapTopAndBottom/>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2"/>
                          <a:stretch>
                            <a:fillRect/>
                          </a:stretch>
                        </pic:blipFill>
                        <pic:spPr>
                          <a:xfrm>
                            <a:off x="0" y="0"/>
                            <a:ext cx="5048250" cy="323850"/>
                          </a:xfrm>
                          <a:prstGeom prst="rect">
                            <a:avLst/>
                          </a:prstGeom>
                          <a:noFill/>
                          <a:ln>
                            <a:noFill/>
                          </a:ln>
                        </pic:spPr>
                      </pic:pic>
                    </a:graphicData>
                  </a:graphic>
                </wp:anchor>
              </w:drawing>
            </w:r>
            <w:r>
              <w:rPr>
                <w:rFonts w:hint="eastAsia"/>
                <w:color w:val="auto"/>
                <w:szCs w:val="20"/>
                <w:highlight w:val="none"/>
                <w:lang w:val="en-US" w:eastAsia="zh-CN"/>
              </w:rPr>
              <w:t>根据企业提供</w:t>
            </w:r>
            <w:bookmarkStart w:id="126" w:name="bkReivew13322"/>
            <w:r>
              <w:rPr>
                <w:rFonts w:hint="eastAsia"/>
                <w:color w:val="auto"/>
                <w:szCs w:val="20"/>
                <w:highlight w:val="none"/>
                <w:lang w:val="en-US" w:eastAsia="zh-CN"/>
              </w:rPr>
              <w:t>的信息</w:t>
            </w:r>
            <w:bookmarkEnd w:id="126"/>
            <w:r>
              <w:rPr>
                <w:rFonts w:hint="eastAsia"/>
                <w:color w:val="auto"/>
                <w:szCs w:val="20"/>
                <w:highlight w:val="none"/>
                <w:lang w:val="en-US" w:eastAsia="zh-CN"/>
              </w:rPr>
              <w:t>，</w:t>
            </w:r>
            <w:r>
              <w:rPr>
                <w:rFonts w:hint="eastAsia"/>
                <w:color w:val="auto"/>
                <w:szCs w:val="20"/>
                <w:highlight w:val="none"/>
                <w:lang w:val="en-US" w:eastAsia="zh-CN"/>
              </w:rPr>
              <w:t>锂离子</w:t>
            </w:r>
            <w:r>
              <w:rPr>
                <w:rFonts w:hint="eastAsia"/>
                <w:color w:val="auto"/>
                <w:szCs w:val="20"/>
                <w:highlight w:val="none"/>
                <w:lang w:val="en-US" w:eastAsia="zh-CN"/>
              </w:rPr>
              <w:t>电池发生火灾的电池量为</w:t>
            </w:r>
            <w:r>
              <w:rPr>
                <w:rFonts w:hint="eastAsia"/>
                <w:color w:val="auto"/>
                <w:szCs w:val="20"/>
                <w:highlight w:val="none"/>
                <w:lang w:val="en-US" w:eastAsia="zh-CN"/>
              </w:rPr>
              <w:t>0.1t/a</w:t>
            </w:r>
            <w:r>
              <w:rPr>
                <w:rFonts w:hint="eastAsia"/>
                <w:color w:val="auto"/>
                <w:szCs w:val="20"/>
                <w:highlight w:val="none"/>
                <w:lang w:val="en-US" w:eastAsia="zh-CN"/>
              </w:rPr>
              <w:t>。</w:t>
            </w:r>
          </w:p>
          <w:p w14:paraId="38F3AE7A">
            <w:pPr>
              <w:pStyle w:val="93"/>
              <w:keepNext w:val="0"/>
              <w:keepLines w:val="0"/>
              <w:suppressLineNumbers w:val="0"/>
              <w:spacing w:before="0" w:beforeAutospacing="0" w:after="0" w:afterAutospacing="0" w:line="480" w:lineRule="exact"/>
              <w:ind w:left="0" w:right="0" w:firstLineChars="200"/>
              <w:rPr>
                <w:rFonts w:hint="default"/>
                <w:color w:val="auto"/>
                <w:szCs w:val="20"/>
                <w:highlight w:val="none"/>
                <w:lang w:val="en-US" w:eastAsia="zh-CN"/>
              </w:rPr>
            </w:pPr>
            <w:r>
              <w:rPr>
                <w:rFonts w:hint="eastAsia"/>
                <w:color w:val="auto"/>
                <w:szCs w:val="20"/>
                <w:highlight w:val="none"/>
                <w:lang w:val="en-US" w:eastAsia="zh-CN"/>
              </w:rPr>
              <w:t>根据企业提供</w:t>
            </w:r>
            <w:bookmarkStart w:id="127" w:name="bkReivew163705"/>
            <w:r>
              <w:rPr>
                <w:rFonts w:hint="eastAsia"/>
                <w:color w:val="auto"/>
                <w:szCs w:val="20"/>
                <w:highlight w:val="none"/>
                <w:lang w:val="en-US" w:eastAsia="zh-CN"/>
              </w:rPr>
              <w:t>的电池</w:t>
            </w:r>
            <w:bookmarkEnd w:id="127"/>
            <w:r>
              <w:rPr>
                <w:rFonts w:hint="eastAsia"/>
                <w:color w:val="auto"/>
                <w:szCs w:val="20"/>
                <w:highlight w:val="none"/>
                <w:lang w:val="en-US" w:eastAsia="zh-CN"/>
              </w:rPr>
              <w:t>燃烧参数，本次评价考虑燃烧过程，电解液中有机溶剂的20%受热挥发（以非甲烷总烃计），则非甲烷总烃废气产生量为</w:t>
            </w:r>
            <w:r>
              <w:rPr>
                <w:rFonts w:hint="eastAsia"/>
                <w:color w:val="auto"/>
                <w:szCs w:val="20"/>
                <w:highlight w:val="none"/>
                <w:lang w:val="en-US" w:eastAsia="zh-CN"/>
              </w:rPr>
              <w:t>0.0026t/a；</w:t>
            </w:r>
            <w:r>
              <w:rPr>
                <w:rFonts w:hint="eastAsia"/>
                <w:color w:val="auto"/>
                <w:szCs w:val="20"/>
                <w:highlight w:val="none"/>
                <w:lang w:val="en-US" w:eastAsia="zh-CN"/>
              </w:rPr>
              <w:t>本次评价考虑电池内正极</w:t>
            </w:r>
            <w:r>
              <w:rPr>
                <w:rFonts w:hint="eastAsia"/>
                <w:color w:val="auto"/>
                <w:szCs w:val="20"/>
                <w:highlight w:val="none"/>
                <w:lang w:val="en-US" w:eastAsia="zh-CN"/>
              </w:rPr>
              <w:t>镍钴锰酸锂</w:t>
            </w:r>
            <w:r>
              <w:rPr>
                <w:rFonts w:hint="eastAsia"/>
                <w:color w:val="auto"/>
                <w:szCs w:val="20"/>
                <w:highlight w:val="none"/>
                <w:lang w:val="en-US" w:eastAsia="zh-CN"/>
              </w:rPr>
              <w:t>、导电炭黑、石墨等粉体的30%在热失控过程中喷射形成颗粒物，则颗粒物产生量为</w:t>
            </w:r>
            <w:r>
              <w:rPr>
                <w:rFonts w:hint="eastAsia"/>
                <w:color w:val="auto"/>
                <w:szCs w:val="20"/>
                <w:highlight w:val="none"/>
                <w:lang w:val="en-US" w:eastAsia="zh-CN"/>
              </w:rPr>
              <w:t>0.0188t/a</w:t>
            </w:r>
            <w:r>
              <w:rPr>
                <w:rFonts w:hint="eastAsia"/>
                <w:color w:val="auto"/>
                <w:szCs w:val="20"/>
                <w:highlight w:val="none"/>
                <w:lang w:val="en-US" w:eastAsia="zh-CN"/>
              </w:rPr>
              <w:t>；本次评价考虑电池内20</w:t>
            </w:r>
            <w:sdt>
              <w:sdtPr>
                <w:rPr>
                  <w:color w:val="auto"/>
                </w:rPr>
                <w:alias w:val="多余空格"/>
                <w:tag w:val="reviewtag_auto"/>
                <w:id w:val="3021514"/>
              </w:sdtPr>
              <w:sdtEndPr>
                <w:rPr>
                  <w:color w:val="auto"/>
                </w:rPr>
              </w:sdtEndPr>
              <w:sdtContent>
                <w:bookmarkStart w:id="128" w:name="bkReivew3021514"/>
                <w:r>
                  <w:rPr>
                    <w:rFonts w:hint="eastAsia"/>
                    <w:color w:val="auto"/>
                    <w:szCs w:val="20"/>
                    <w:highlight w:val="none"/>
                    <w:lang w:val="en-US" w:eastAsia="zh-CN"/>
                  </w:rPr>
                  <w:t xml:space="preserve">% </w:t>
                </w:r>
                <w:r>
                  <w:rPr>
                    <w:rFonts w:hint="default" w:ascii="Times New Roman" w:hAnsi="Times New Roman" w:eastAsia="宋体" w:cs="Times New Roman"/>
                    <w:color w:val="auto"/>
                    <w:sz w:val="24"/>
                    <w:highlight w:val="none"/>
                  </w:rPr>
                  <w:t>L</w:t>
                </w:r>
                <w:bookmarkEnd w:id="128"/>
              </w:sdtContent>
            </w:sdt>
            <w:r>
              <w:rPr>
                <w:rFonts w:hint="default" w:ascii="Times New Roman" w:hAnsi="Times New Roman" w:eastAsia="宋体" w:cs="Times New Roman"/>
                <w:color w:val="auto"/>
                <w:sz w:val="24"/>
                <w:highlight w:val="none"/>
              </w:rPr>
              <w:t>iPF</w:t>
            </w:r>
            <w:r>
              <w:rPr>
                <w:rFonts w:hint="default" w:ascii="Times New Roman" w:hAnsi="Times New Roman" w:eastAsia="宋体" w:cs="Times New Roman"/>
                <w:color w:val="auto"/>
                <w:sz w:val="24"/>
                <w:highlight w:val="none"/>
                <w:vertAlign w:val="subscript"/>
              </w:rPr>
              <w:t>6</w:t>
            </w:r>
            <w:r>
              <w:rPr>
                <w:rFonts w:hint="eastAsia" w:cs="Times New Roman"/>
                <w:color w:val="auto"/>
                <w:sz w:val="24"/>
                <w:highlight w:val="none"/>
                <w:vertAlign w:val="baseline"/>
                <w:lang w:eastAsia="zh-CN"/>
              </w:rPr>
              <w:t>、</w:t>
            </w:r>
            <w:r>
              <w:rPr>
                <w:rFonts w:hint="eastAsia"/>
                <w:color w:val="auto"/>
                <w:szCs w:val="20"/>
                <w:highlight w:val="none"/>
                <w:lang w:val="en-US" w:eastAsia="zh-CN"/>
              </w:rPr>
              <w:t>PVDF 物料受热分解，根据受热分解方程式计算可得，电解质及胶黏剂受热分解过程氟化氢产生量为（以氟化物计）</w:t>
            </w:r>
            <w:r>
              <w:rPr>
                <w:rFonts w:hint="eastAsia"/>
                <w:color w:val="auto"/>
                <w:szCs w:val="20"/>
                <w:highlight w:val="none"/>
                <w:lang w:val="en-US" w:eastAsia="zh-CN"/>
              </w:rPr>
              <w:t>0.0004t/a</w:t>
            </w:r>
            <w:r>
              <w:rPr>
                <w:rFonts w:hint="eastAsia"/>
                <w:color w:val="auto"/>
                <w:szCs w:val="20"/>
                <w:highlight w:val="none"/>
                <w:lang w:val="en-US" w:eastAsia="zh-CN"/>
              </w:rPr>
              <w:t>。</w:t>
            </w:r>
            <w:r>
              <w:rPr>
                <w:rFonts w:hint="eastAsia"/>
                <w:color w:val="auto"/>
                <w:szCs w:val="20"/>
                <w:highlight w:val="none"/>
                <w:lang w:val="en-US" w:eastAsia="zh-CN"/>
              </w:rPr>
              <w:t>燃烧废气经燃烧试验机自带的管道收集后无组织排放。</w:t>
            </w:r>
          </w:p>
          <w:p w14:paraId="0B5F6D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0"/>
              <w:textAlignment w:val="auto"/>
              <w:rPr>
                <w:rFonts w:hint="eastAsia" w:ascii="Times New Roman" w:hAnsi="Times New Roman" w:eastAsia="宋体" w:cs="Times New Roman"/>
                <w:b/>
                <w:bCs/>
                <w:color w:val="auto"/>
                <w:highlight w:val="none"/>
                <w:lang w:eastAsia="zh-CN"/>
              </w:rPr>
            </w:pPr>
            <w:r>
              <w:rPr>
                <w:rFonts w:hint="eastAsia" w:cs="Times New Roman"/>
                <w:b/>
                <w:bCs/>
                <w:color w:val="auto"/>
                <w:kern w:val="2"/>
                <w:sz w:val="24"/>
                <w:szCs w:val="24"/>
                <w:highlight w:val="none"/>
                <w:lang w:val="en-US" w:eastAsia="zh-CN" w:bidi="ar-SA"/>
              </w:rPr>
              <w:t>2</w:t>
            </w:r>
            <w:r>
              <w:rPr>
                <w:rFonts w:hint="eastAsia" w:ascii="Times New Roman" w:hAnsi="Times New Roman" w:eastAsia="宋体" w:cs="Times New Roman"/>
                <w:b/>
                <w:bCs/>
                <w:color w:val="auto"/>
                <w:kern w:val="2"/>
                <w:sz w:val="24"/>
                <w:szCs w:val="24"/>
                <w:highlight w:val="none"/>
                <w:lang w:val="en-US" w:eastAsia="zh-CN" w:bidi="ar-SA"/>
              </w:rPr>
              <w:t>）</w:t>
            </w:r>
            <w:r>
              <w:rPr>
                <w:rFonts w:hint="eastAsia" w:cs="Times New Roman"/>
                <w:b/>
                <w:bCs/>
                <w:color w:val="auto"/>
                <w:highlight w:val="none"/>
                <w:lang w:val="en-US" w:eastAsia="zh-CN"/>
              </w:rPr>
              <w:t>危废贮存废气G2</w:t>
            </w:r>
          </w:p>
          <w:p w14:paraId="450215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eastAsia="宋体" w:cs="Times New Roman"/>
                <w:b w:val="0"/>
                <w:bCs/>
                <w:color w:val="auto"/>
                <w:spacing w:val="6"/>
                <w:sz w:val="24"/>
                <w:szCs w:val="24"/>
                <w:highlight w:val="none"/>
                <w:lang w:val="en-US" w:eastAsia="zh-CN"/>
              </w:rPr>
            </w:pPr>
            <w:r>
              <w:rPr>
                <w:rFonts w:hint="eastAsia" w:cs="Times New Roman"/>
                <w:b w:val="0"/>
                <w:bCs/>
                <w:color w:val="auto"/>
                <w:spacing w:val="6"/>
                <w:sz w:val="24"/>
                <w:szCs w:val="24"/>
                <w:highlight w:val="none"/>
                <w:lang w:val="en-US" w:eastAsia="zh-CN"/>
              </w:rPr>
              <w:t>本项目产生的危废主要是泡电池废液，废液</w:t>
            </w:r>
            <w:r>
              <w:rPr>
                <w:rFonts w:hint="eastAsia"/>
                <w:color w:val="auto"/>
                <w:highlight w:val="none"/>
                <w:lang w:val="en-US" w:eastAsia="zh-CN"/>
              </w:rPr>
              <w:t>本身含挥发物质较少且贮存时采取桶进行密封包装。</w:t>
            </w:r>
            <w:r>
              <w:rPr>
                <w:rFonts w:hint="default"/>
                <w:b/>
                <w:bCs/>
                <w:color w:val="auto"/>
                <w:highlight w:val="none"/>
                <w:lang w:val="en-US" w:eastAsia="zh-CN"/>
              </w:rPr>
              <w:t>根据《关于进一步加强涉VOC</w:t>
            </w:r>
            <w:r>
              <w:rPr>
                <w:rFonts w:hint="default"/>
                <w:b/>
                <w:bCs/>
                <w:color w:val="auto"/>
                <w:highlight w:val="none"/>
                <w:vertAlign w:val="subscript"/>
                <w:lang w:val="en-US" w:eastAsia="zh-CN"/>
              </w:rPr>
              <w:t>S</w:t>
            </w:r>
            <w:r>
              <w:rPr>
                <w:rFonts w:hint="default"/>
                <w:b/>
                <w:bCs/>
                <w:color w:val="auto"/>
                <w:highlight w:val="none"/>
                <w:lang w:val="en-US" w:eastAsia="zh-CN"/>
              </w:rPr>
              <w:t>建设项目环评文件审批有关要求的通知》（宁环办</w:t>
            </w:r>
            <w:r>
              <w:rPr>
                <w:rFonts w:hint="eastAsia"/>
                <w:b/>
                <w:bCs/>
                <w:color w:val="auto"/>
                <w:highlight w:val="none"/>
                <w:lang w:val="en-US" w:eastAsia="zh-CN"/>
              </w:rPr>
              <w:t>〔2021〕28号</w:t>
            </w:r>
            <w:r>
              <w:rPr>
                <w:rFonts w:hint="default"/>
                <w:b/>
                <w:bCs/>
                <w:color w:val="auto"/>
                <w:highlight w:val="none"/>
                <w:lang w:val="en-US" w:eastAsia="zh-CN"/>
              </w:rPr>
              <w:t>）以及关于印发《2020年挥发性有机物治理攻坚方案》的通知（环大气</w:t>
            </w:r>
            <w:r>
              <w:rPr>
                <w:rFonts w:hint="eastAsia"/>
                <w:b/>
                <w:bCs/>
                <w:color w:val="auto"/>
                <w:highlight w:val="none"/>
                <w:lang w:val="en-US" w:eastAsia="zh-CN"/>
              </w:rPr>
              <w:t>〔2020〕33号</w:t>
            </w:r>
            <w:r>
              <w:rPr>
                <w:rFonts w:hint="default"/>
                <w:b/>
                <w:bCs/>
                <w:color w:val="auto"/>
                <w:highlight w:val="none"/>
                <w:lang w:val="en-US" w:eastAsia="zh-CN"/>
              </w:rPr>
              <w:t>）的相关要求；对于使用物料VOC</w:t>
            </w:r>
            <w:r>
              <w:rPr>
                <w:rFonts w:hint="default"/>
                <w:b/>
                <w:bCs/>
                <w:color w:val="auto"/>
                <w:highlight w:val="none"/>
                <w:vertAlign w:val="subscript"/>
                <w:lang w:val="en-US" w:eastAsia="zh-CN"/>
              </w:rPr>
              <w:t>S</w:t>
            </w:r>
            <w:r>
              <w:rPr>
                <w:rFonts w:hint="default"/>
                <w:b/>
                <w:bCs/>
                <w:color w:val="auto"/>
                <w:highlight w:val="none"/>
                <w:lang w:val="en-US" w:eastAsia="zh-CN"/>
              </w:rPr>
              <w:t>含量（质量比）低于10%的工序，且单个排口VOC</w:t>
            </w:r>
            <w:r>
              <w:rPr>
                <w:rFonts w:hint="default"/>
                <w:b/>
                <w:bCs/>
                <w:color w:val="auto"/>
                <w:highlight w:val="none"/>
                <w:vertAlign w:val="subscript"/>
                <w:lang w:val="en-US" w:eastAsia="zh-CN"/>
              </w:rPr>
              <w:t>S</w:t>
            </w:r>
            <w:r>
              <w:rPr>
                <w:rFonts w:hint="default"/>
                <w:b/>
                <w:bCs/>
                <w:color w:val="auto"/>
                <w:highlight w:val="none"/>
                <w:lang w:val="en-US" w:eastAsia="zh-CN"/>
              </w:rPr>
              <w:t>（以非甲烷总烃计）初始排放速率＜</w:t>
            </w:r>
            <w:sdt>
              <w:sdtPr>
                <w:rPr>
                  <w:color w:val="auto"/>
                  <w:highlight w:val="none"/>
                </w:rPr>
                <w:alias w:val="单位间隙检查"/>
                <w:tag w:val="auto"/>
                <w:id w:val="171324"/>
              </w:sdtPr>
              <w:sdtEndPr>
                <w:rPr>
                  <w:color w:val="auto"/>
                  <w:highlight w:val="none"/>
                </w:rPr>
              </w:sdtEndPr>
              <w:sdtContent>
                <w:bookmarkStart w:id="129" w:name="bkFormat171324"/>
                <w:r>
                  <w:rPr>
                    <w:rFonts w:hint="default"/>
                    <w:b/>
                    <w:bCs/>
                    <w:color w:val="auto"/>
                    <w:highlight w:val="none"/>
                    <w:lang w:val="en-US" w:eastAsia="zh-CN"/>
                  </w:rPr>
                  <w:t>1kg/h</w:t>
                </w:r>
                <w:bookmarkEnd w:id="129"/>
              </w:sdtContent>
            </w:sdt>
            <w:r>
              <w:rPr>
                <w:rFonts w:hint="default"/>
                <w:b/>
                <w:bCs/>
                <w:color w:val="auto"/>
                <w:highlight w:val="none"/>
                <w:lang w:val="en-US" w:eastAsia="zh-CN"/>
              </w:rPr>
              <w:t>，可不采取无组织排放收集措施</w:t>
            </w:r>
            <w:r>
              <w:rPr>
                <w:rFonts w:hint="eastAsia"/>
                <w:b/>
                <w:bCs/>
                <w:color w:val="auto"/>
                <w:highlight w:val="none"/>
                <w:lang w:val="en-US" w:eastAsia="zh-CN"/>
              </w:rPr>
              <w:t>。</w:t>
            </w:r>
            <w:r>
              <w:rPr>
                <w:rFonts w:hint="eastAsia"/>
                <w:color w:val="auto"/>
                <w:highlight w:val="none"/>
                <w:lang w:val="en-US" w:eastAsia="zh-CN"/>
              </w:rPr>
              <w:t>因此本项目危废暂存废气产生量极小，本次不进行定量核算。</w:t>
            </w:r>
          </w:p>
          <w:p w14:paraId="21C74D01">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p w14:paraId="2F09FDB5">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p w14:paraId="29979B4B">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p w14:paraId="3C7AA1B3">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p w14:paraId="0536C317">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p w14:paraId="52DD4E81">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p w14:paraId="0434C635">
            <w:pPr>
              <w:keepNext w:val="0"/>
              <w:keepLines w:val="0"/>
              <w:pageBreakBefore w:val="0"/>
              <w:kinsoku/>
              <w:wordWrap/>
              <w:overflowPunct/>
              <w:topLinePunct w:val="0"/>
              <w:autoSpaceDE/>
              <w:autoSpaceDN/>
              <w:bidi w:val="0"/>
              <w:adjustRightInd/>
              <w:spacing w:before="0" w:after="0"/>
              <w:ind w:left="0" w:right="0"/>
              <w:textAlignment w:val="auto"/>
              <w:rPr>
                <w:rFonts w:hint="default"/>
                <w:color w:val="auto"/>
                <w:highlight w:val="none"/>
                <w:lang w:val="en-US"/>
              </w:rPr>
            </w:pPr>
          </w:p>
        </w:tc>
      </w:tr>
    </w:tbl>
    <w:p w14:paraId="1FE5D9E0">
      <w:pPr>
        <w:pStyle w:val="29"/>
        <w:spacing w:before="0" w:beforeAutospacing="0" w:after="0" w:afterAutospacing="0" w:line="360" w:lineRule="auto"/>
        <w:ind w:firstLine="0" w:firstLineChars="0"/>
        <w:jc w:val="center"/>
        <w:outlineLvl w:val="1"/>
        <w:rPr>
          <w:rStyle w:val="47"/>
          <w:rFonts w:hint="default" w:ascii="Times New Roman" w:hAnsi="Times New Roman" w:eastAsia="黑体"/>
          <w:color w:val="auto"/>
          <w:sz w:val="30"/>
          <w:szCs w:val="30"/>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bookmarkStart w:id="130" w:name="pindex1400"/>
      <w:bookmarkEnd w:id="130"/>
    </w:p>
    <w:tbl>
      <w:tblPr>
        <w:tblStyle w:val="33"/>
        <w:tblW w:w="502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1"/>
        <w:gridCol w:w="13192"/>
      </w:tblGrid>
      <w:tr w14:paraId="53BC71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 w:type="pct"/>
            <w:tcMar>
              <w:left w:w="28" w:type="dxa"/>
              <w:right w:w="28" w:type="dxa"/>
            </w:tcMar>
            <w:vAlign w:val="center"/>
          </w:tcPr>
          <w:p w14:paraId="78AE62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auto"/>
                <w:szCs w:val="21"/>
                <w:highlight w:val="none"/>
              </w:rPr>
            </w:pPr>
            <w:r>
              <w:rPr>
                <w:b/>
                <w:color w:val="auto"/>
                <w:sz w:val="24"/>
                <w:highlight w:val="none"/>
              </w:rPr>
              <w:t>运营期环境影响和保护措施</w:t>
            </w:r>
          </w:p>
        </w:tc>
        <w:tc>
          <w:tcPr>
            <w:tcW w:w="4816" w:type="pct"/>
            <w:tcBorders>
              <w:top w:val="single" w:color="auto" w:sz="4" w:space="0"/>
              <w:bottom w:val="single" w:color="auto" w:sz="4" w:space="0"/>
              <w:right w:val="single" w:color="auto" w:sz="4" w:space="0"/>
            </w:tcBorders>
            <w:vAlign w:val="center"/>
          </w:tcPr>
          <w:p w14:paraId="72B7E7BB">
            <w:pPr>
              <w:bidi w:val="0"/>
              <w:rPr>
                <w:rFonts w:hint="eastAsia"/>
                <w:color w:val="auto"/>
                <w:highlight w:val="none"/>
              </w:rPr>
            </w:pPr>
            <w:r>
              <w:rPr>
                <w:rFonts w:hint="eastAsia"/>
                <w:color w:val="auto"/>
                <w:highlight w:val="none"/>
                <w:lang w:val="en-US" w:eastAsia="zh-CN"/>
              </w:rPr>
              <w:t>本项目</w:t>
            </w:r>
            <w:r>
              <w:rPr>
                <w:rFonts w:hint="eastAsia"/>
                <w:color w:val="auto"/>
                <w:highlight w:val="none"/>
              </w:rPr>
              <w:t>主要污染物源强核算见下表。</w:t>
            </w:r>
          </w:p>
          <w:p w14:paraId="11BEEE79">
            <w:pPr>
              <w:pStyle w:val="52"/>
              <w:bidi w:val="0"/>
              <w:ind w:left="5518" w:leftChars="0" w:hanging="5518" w:firstLineChars="0"/>
              <w:rPr>
                <w:rFonts w:hint="eastAsia"/>
                <w:color w:val="auto"/>
                <w:lang w:eastAsia="zh-CN"/>
              </w:rPr>
            </w:pPr>
            <w:r>
              <w:rPr>
                <w:rFonts w:hint="eastAsia"/>
                <w:color w:val="auto"/>
              </w:rPr>
              <w:t>本项目</w:t>
            </w:r>
            <w:r>
              <w:rPr>
                <w:rFonts w:hint="eastAsia"/>
                <w:color w:val="auto"/>
                <w:lang w:val="en-US" w:eastAsia="zh-CN"/>
              </w:rPr>
              <w:t>大</w:t>
            </w:r>
            <w:r>
              <w:rPr>
                <w:rFonts w:hint="default"/>
                <w:color w:val="auto"/>
              </w:rPr>
              <w:t>气污染物</w:t>
            </w:r>
            <w:r>
              <w:rPr>
                <w:rFonts w:hint="eastAsia"/>
                <w:color w:val="auto"/>
              </w:rPr>
              <w:t>源强核算一览表</w:t>
            </w:r>
          </w:p>
          <w:tbl>
            <w:tblPr>
              <w:tblStyle w:val="34"/>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733"/>
              <w:gridCol w:w="1374"/>
              <w:gridCol w:w="1095"/>
              <w:gridCol w:w="2004"/>
              <w:gridCol w:w="899"/>
              <w:gridCol w:w="823"/>
              <w:gridCol w:w="1264"/>
              <w:gridCol w:w="733"/>
              <w:gridCol w:w="943"/>
              <w:gridCol w:w="1087"/>
              <w:gridCol w:w="1264"/>
            </w:tblGrid>
            <w:tr w14:paraId="451EA4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shd w:val="clear" w:color="auto" w:fill="auto"/>
                  <w:vAlign w:val="center"/>
                </w:tcPr>
                <w:p w14:paraId="322E132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lang w:eastAsia="zh-CN"/>
                    </w:rPr>
                    <w:t>产污编号</w:t>
                  </w:r>
                </w:p>
              </w:tc>
              <w:tc>
                <w:tcPr>
                  <w:tcW w:w="0" w:type="auto"/>
                  <w:tcBorders>
                    <w:tl2br w:val="nil"/>
                    <w:tr2bl w:val="nil"/>
                  </w:tcBorders>
                  <w:shd w:val="clear" w:color="auto" w:fill="auto"/>
                  <w:vAlign w:val="center"/>
                </w:tcPr>
                <w:p w14:paraId="59643F6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产生工序</w:t>
                  </w:r>
                </w:p>
              </w:tc>
              <w:tc>
                <w:tcPr>
                  <w:tcW w:w="1374" w:type="dxa"/>
                  <w:tcBorders>
                    <w:tl2br w:val="nil"/>
                    <w:tr2bl w:val="nil"/>
                  </w:tcBorders>
                  <w:shd w:val="clear" w:color="auto" w:fill="auto"/>
                  <w:vAlign w:val="center"/>
                </w:tcPr>
                <w:p w14:paraId="2F86A0E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污染物</w:t>
                  </w:r>
                </w:p>
              </w:tc>
              <w:tc>
                <w:tcPr>
                  <w:tcW w:w="1095" w:type="dxa"/>
                  <w:tcBorders>
                    <w:tl2br w:val="nil"/>
                    <w:tr2bl w:val="nil"/>
                  </w:tcBorders>
                  <w:shd w:val="clear" w:color="auto" w:fill="auto"/>
                  <w:vAlign w:val="center"/>
                </w:tcPr>
                <w:p w14:paraId="1209123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right="0" w:rightChars="0"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核算方法</w:t>
                  </w:r>
                </w:p>
              </w:tc>
              <w:tc>
                <w:tcPr>
                  <w:tcW w:w="2004" w:type="dxa"/>
                  <w:tcBorders>
                    <w:tl2br w:val="nil"/>
                    <w:tr2bl w:val="nil"/>
                  </w:tcBorders>
                  <w:shd w:val="clear" w:color="auto" w:fill="auto"/>
                  <w:vAlign w:val="center"/>
                </w:tcPr>
                <w:p w14:paraId="2ABC07B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物料名称</w:t>
                  </w:r>
                </w:p>
              </w:tc>
              <w:tc>
                <w:tcPr>
                  <w:tcW w:w="899" w:type="dxa"/>
                  <w:tcBorders>
                    <w:tl2br w:val="nil"/>
                    <w:tr2bl w:val="nil"/>
                  </w:tcBorders>
                  <w:shd w:val="clear" w:color="auto" w:fill="auto"/>
                  <w:vAlign w:val="center"/>
                </w:tcPr>
                <w:p w14:paraId="6EE7D6C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物料</w:t>
                  </w:r>
                  <w:r>
                    <w:rPr>
                      <w:rFonts w:hint="default" w:ascii="Times New Roman" w:hAnsi="Times New Roman" w:eastAsia="宋体" w:cs="Times New Roman"/>
                      <w:b/>
                      <w:bCs/>
                      <w:color w:val="auto"/>
                      <w:sz w:val="21"/>
                      <w:szCs w:val="21"/>
                      <w:highlight w:val="none"/>
                      <w:lang w:val="en-US" w:eastAsia="zh-CN"/>
                    </w:rPr>
                    <w:t>年</w:t>
                  </w:r>
                  <w:r>
                    <w:rPr>
                      <w:rFonts w:hint="default" w:ascii="Times New Roman" w:hAnsi="Times New Roman" w:eastAsia="宋体" w:cs="Times New Roman"/>
                      <w:b/>
                      <w:bCs/>
                      <w:color w:val="auto"/>
                      <w:sz w:val="21"/>
                      <w:szCs w:val="21"/>
                      <w:highlight w:val="none"/>
                    </w:rPr>
                    <w:t>用量</w:t>
                  </w:r>
                  <w:r>
                    <w:rPr>
                      <w:rFonts w:hint="default" w:ascii="Times New Roman" w:hAnsi="Times New Roman" w:eastAsia="宋体" w:cs="Times New Roman"/>
                      <w:b/>
                      <w:bCs/>
                      <w:color w:val="auto"/>
                      <w:sz w:val="21"/>
                      <w:szCs w:val="21"/>
                      <w:highlight w:val="none"/>
                      <w:lang w:val="en-US" w:eastAsia="zh-CN"/>
                    </w:rPr>
                    <w:t>t</w:t>
                  </w:r>
                </w:p>
              </w:tc>
              <w:tc>
                <w:tcPr>
                  <w:tcW w:w="0" w:type="auto"/>
                  <w:tcBorders>
                    <w:tl2br w:val="nil"/>
                    <w:tr2bl w:val="nil"/>
                  </w:tcBorders>
                  <w:shd w:val="clear" w:color="auto" w:fill="auto"/>
                  <w:vAlign w:val="center"/>
                </w:tcPr>
                <w:p w14:paraId="5BDE9E77">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产污系数</w:t>
                  </w:r>
                </w:p>
              </w:tc>
              <w:tc>
                <w:tcPr>
                  <w:tcW w:w="0" w:type="auto"/>
                  <w:tcBorders>
                    <w:tl2br w:val="nil"/>
                    <w:tr2bl w:val="nil"/>
                  </w:tcBorders>
                  <w:shd w:val="clear" w:color="auto" w:fill="auto"/>
                  <w:vAlign w:val="center"/>
                </w:tcPr>
                <w:p w14:paraId="0AECD58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污染物</w:t>
                  </w:r>
                  <w:r>
                    <w:rPr>
                      <w:rFonts w:hint="default" w:ascii="Times New Roman" w:hAnsi="Times New Roman" w:eastAsia="宋体" w:cs="Times New Roman"/>
                      <w:b/>
                      <w:bCs/>
                      <w:color w:val="auto"/>
                      <w:sz w:val="21"/>
                      <w:szCs w:val="21"/>
                      <w:highlight w:val="none"/>
                    </w:rPr>
                    <w:t>产生量</w:t>
                  </w:r>
                  <w:r>
                    <w:rPr>
                      <w:rFonts w:hint="default" w:ascii="Times New Roman" w:hAnsi="Times New Roman" w:eastAsia="宋体" w:cs="Times New Roman"/>
                      <w:b/>
                      <w:bCs/>
                      <w:color w:val="auto"/>
                      <w:sz w:val="21"/>
                      <w:szCs w:val="21"/>
                      <w:highlight w:val="none"/>
                      <w:lang w:val="en-US" w:eastAsia="zh-CN"/>
                    </w:rPr>
                    <w:t>t</w:t>
                  </w:r>
                  <w:r>
                    <w:rPr>
                      <w:rFonts w:hint="default" w:ascii="Times New Roman" w:hAnsi="Times New Roman" w:eastAsia="宋体" w:cs="Times New Roman"/>
                      <w:b/>
                      <w:bCs/>
                      <w:color w:val="auto"/>
                      <w:sz w:val="21"/>
                      <w:szCs w:val="21"/>
                      <w:highlight w:val="none"/>
                    </w:rPr>
                    <w:t>/a</w:t>
                  </w:r>
                </w:p>
              </w:tc>
              <w:tc>
                <w:tcPr>
                  <w:tcW w:w="0" w:type="auto"/>
                  <w:tcBorders>
                    <w:tl2br w:val="nil"/>
                    <w:tr2bl w:val="nil"/>
                  </w:tcBorders>
                  <w:shd w:val="clear" w:color="auto" w:fill="auto"/>
                  <w:vAlign w:val="center"/>
                </w:tcPr>
                <w:p w14:paraId="74AEDAC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收集方式</w:t>
                  </w:r>
                </w:p>
              </w:tc>
              <w:tc>
                <w:tcPr>
                  <w:tcW w:w="0" w:type="auto"/>
                  <w:tcBorders>
                    <w:tl2br w:val="nil"/>
                    <w:tr2bl w:val="nil"/>
                  </w:tcBorders>
                  <w:shd w:val="clear" w:color="auto" w:fill="auto"/>
                  <w:vAlign w:val="center"/>
                </w:tcPr>
                <w:p w14:paraId="118C9617">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收集效率</w:t>
                  </w:r>
                  <w:r>
                    <w:rPr>
                      <w:rFonts w:hint="default" w:ascii="Times New Roman" w:hAnsi="Times New Roman" w:eastAsia="宋体" w:cs="Times New Roman"/>
                      <w:b/>
                      <w:bCs/>
                      <w:color w:val="auto"/>
                      <w:sz w:val="21"/>
                      <w:szCs w:val="21"/>
                      <w:highlight w:val="none"/>
                      <w:lang w:val="en-US" w:eastAsia="zh-CN"/>
                    </w:rPr>
                    <w:t>%</w:t>
                  </w:r>
                </w:p>
              </w:tc>
              <w:tc>
                <w:tcPr>
                  <w:tcW w:w="0" w:type="auto"/>
                  <w:tcBorders>
                    <w:tl2br w:val="nil"/>
                    <w:tr2bl w:val="nil"/>
                  </w:tcBorders>
                  <w:shd w:val="clear" w:color="auto" w:fill="auto"/>
                  <w:vAlign w:val="center"/>
                </w:tcPr>
                <w:p w14:paraId="1B693A9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sz w:val="21"/>
                      <w:szCs w:val="21"/>
                      <w:highlight w:val="none"/>
                    </w:rPr>
                    <w:t>有组织产生量</w:t>
                  </w:r>
                  <w:r>
                    <w:rPr>
                      <w:rFonts w:hint="default" w:ascii="Times New Roman" w:hAnsi="Times New Roman" w:eastAsia="宋体" w:cs="Times New Roman"/>
                      <w:b/>
                      <w:bCs/>
                      <w:color w:val="auto"/>
                      <w:sz w:val="21"/>
                      <w:szCs w:val="21"/>
                      <w:highlight w:val="none"/>
                      <w:lang w:val="en-US" w:eastAsia="zh-CN"/>
                    </w:rPr>
                    <w:t>t</w:t>
                  </w:r>
                  <w:r>
                    <w:rPr>
                      <w:rFonts w:hint="default" w:ascii="Times New Roman" w:hAnsi="Times New Roman" w:eastAsia="宋体" w:cs="Times New Roman"/>
                      <w:b/>
                      <w:bCs/>
                      <w:color w:val="auto"/>
                      <w:sz w:val="21"/>
                      <w:szCs w:val="21"/>
                      <w:highlight w:val="none"/>
                    </w:rPr>
                    <w:t>/a</w:t>
                  </w:r>
                </w:p>
              </w:tc>
              <w:tc>
                <w:tcPr>
                  <w:tcW w:w="0" w:type="auto"/>
                  <w:tcBorders>
                    <w:tl2br w:val="nil"/>
                    <w:tr2bl w:val="nil"/>
                  </w:tcBorders>
                  <w:shd w:val="clear" w:color="auto" w:fill="auto"/>
                  <w:vAlign w:val="center"/>
                </w:tcPr>
                <w:p w14:paraId="064F3E4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bCs/>
                      <w:color w:val="auto"/>
                      <w:sz w:val="21"/>
                      <w:szCs w:val="21"/>
                      <w:highlight w:val="none"/>
                    </w:rPr>
                    <w:t>无组织产生量</w:t>
                  </w:r>
                  <w:r>
                    <w:rPr>
                      <w:rFonts w:hint="default" w:ascii="Times New Roman" w:hAnsi="Times New Roman" w:eastAsia="宋体" w:cs="Times New Roman"/>
                      <w:b/>
                      <w:bCs/>
                      <w:color w:val="auto"/>
                      <w:sz w:val="21"/>
                      <w:szCs w:val="21"/>
                      <w:highlight w:val="none"/>
                      <w:lang w:val="en-US" w:eastAsia="zh-CN"/>
                    </w:rPr>
                    <w:t>t/</w:t>
                  </w:r>
                  <w:r>
                    <w:rPr>
                      <w:rFonts w:hint="default" w:ascii="Times New Roman" w:hAnsi="Times New Roman" w:eastAsia="宋体" w:cs="Times New Roman"/>
                      <w:b/>
                      <w:bCs/>
                      <w:color w:val="auto"/>
                      <w:sz w:val="21"/>
                      <w:szCs w:val="21"/>
                      <w:highlight w:val="none"/>
                    </w:rPr>
                    <w:t>a</w:t>
                  </w:r>
                </w:p>
              </w:tc>
            </w:tr>
            <w:tr w14:paraId="007EE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restart"/>
                  <w:tcBorders>
                    <w:tl2br w:val="nil"/>
                    <w:tr2bl w:val="nil"/>
                  </w:tcBorders>
                  <w:shd w:val="clear" w:color="auto" w:fill="auto"/>
                  <w:vAlign w:val="center"/>
                </w:tcPr>
                <w:p w14:paraId="5A40CE9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eastAsia="zh-CN"/>
                    </w:rPr>
                    <w:t>G1</w:t>
                  </w:r>
                </w:p>
              </w:tc>
              <w:tc>
                <w:tcPr>
                  <w:tcW w:w="0" w:type="auto"/>
                  <w:vMerge w:val="restart"/>
                  <w:tcBorders>
                    <w:tl2br w:val="nil"/>
                    <w:tr2bl w:val="nil"/>
                  </w:tcBorders>
                  <w:shd w:val="clear" w:color="auto" w:fill="auto"/>
                  <w:vAlign w:val="center"/>
                </w:tcPr>
                <w:p w14:paraId="17BA9D4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测试检验</w:t>
                  </w:r>
                </w:p>
              </w:tc>
              <w:tc>
                <w:tcPr>
                  <w:tcW w:w="1374" w:type="dxa"/>
                  <w:tcBorders>
                    <w:tl2br w:val="nil"/>
                    <w:tr2bl w:val="nil"/>
                  </w:tcBorders>
                  <w:shd w:val="clear" w:color="auto" w:fill="auto"/>
                  <w:vAlign w:val="center"/>
                </w:tcPr>
                <w:p w14:paraId="3FC541C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非甲烷总烃</w:t>
                  </w:r>
                </w:p>
              </w:tc>
              <w:tc>
                <w:tcPr>
                  <w:tcW w:w="1095" w:type="dxa"/>
                  <w:vMerge w:val="restart"/>
                  <w:tcBorders>
                    <w:tl2br w:val="nil"/>
                    <w:tr2bl w:val="nil"/>
                  </w:tcBorders>
                  <w:shd w:val="clear" w:color="auto" w:fill="auto"/>
                  <w:vAlign w:val="center"/>
                </w:tcPr>
                <w:p w14:paraId="1AA02F9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产污系数、物料衡算</w:t>
                  </w:r>
                </w:p>
              </w:tc>
              <w:tc>
                <w:tcPr>
                  <w:tcW w:w="2004" w:type="dxa"/>
                  <w:tcBorders>
                    <w:tl2br w:val="nil"/>
                    <w:tr2bl w:val="nil"/>
                  </w:tcBorders>
                  <w:shd w:val="clear" w:color="auto" w:fill="auto"/>
                  <w:vAlign w:val="center"/>
                </w:tcPr>
                <w:p w14:paraId="402E21B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电解液有机溶剂</w:t>
                  </w:r>
                </w:p>
              </w:tc>
              <w:tc>
                <w:tcPr>
                  <w:tcW w:w="899" w:type="dxa"/>
                  <w:tcBorders>
                    <w:tl2br w:val="nil"/>
                    <w:tr2bl w:val="nil"/>
                  </w:tcBorders>
                  <w:shd w:val="clear" w:color="auto" w:fill="auto"/>
                  <w:vAlign w:val="center"/>
                </w:tcPr>
                <w:p w14:paraId="1393A48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w:t>
                  </w:r>
                  <w:r>
                    <w:rPr>
                      <w:rFonts w:hint="eastAsia" w:cs="Times New Roman"/>
                      <w:b w:val="0"/>
                      <w:bCs w:val="0"/>
                      <w:color w:val="auto"/>
                      <w:sz w:val="21"/>
                      <w:szCs w:val="21"/>
                      <w:highlight w:val="none"/>
                      <w:lang w:val="en-US" w:eastAsia="zh-CN"/>
                    </w:rPr>
                    <w:t>0128</w:t>
                  </w:r>
                </w:p>
              </w:tc>
              <w:tc>
                <w:tcPr>
                  <w:tcW w:w="0" w:type="auto"/>
                  <w:tcBorders>
                    <w:tl2br w:val="nil"/>
                    <w:tr2bl w:val="nil"/>
                  </w:tcBorders>
                  <w:shd w:val="clear" w:color="auto" w:fill="auto"/>
                  <w:vAlign w:val="center"/>
                </w:tcPr>
                <w:p w14:paraId="63E2A9D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w:t>
                  </w:r>
                </w:p>
              </w:tc>
              <w:tc>
                <w:tcPr>
                  <w:tcW w:w="0" w:type="auto"/>
                  <w:tcBorders>
                    <w:tl2br w:val="nil"/>
                    <w:tr2bl w:val="nil"/>
                  </w:tcBorders>
                  <w:shd w:val="clear" w:color="auto" w:fill="auto"/>
                  <w:vAlign w:val="center"/>
                </w:tcPr>
                <w:p w14:paraId="441867C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0.0</w:t>
                  </w:r>
                  <w:r>
                    <w:rPr>
                      <w:rFonts w:hint="eastAsia" w:cs="Times New Roman"/>
                      <w:b w:val="0"/>
                      <w:bCs w:val="0"/>
                      <w:color w:val="auto"/>
                      <w:sz w:val="21"/>
                      <w:szCs w:val="21"/>
                      <w:highlight w:val="none"/>
                      <w:lang w:val="en-US" w:eastAsia="zh-CN"/>
                    </w:rPr>
                    <w:t>026</w:t>
                  </w:r>
                </w:p>
              </w:tc>
              <w:tc>
                <w:tcPr>
                  <w:tcW w:w="0" w:type="auto"/>
                  <w:vMerge w:val="restart"/>
                  <w:tcBorders>
                    <w:tl2br w:val="nil"/>
                    <w:tr2bl w:val="nil"/>
                  </w:tcBorders>
                  <w:shd w:val="clear" w:color="auto" w:fill="auto"/>
                  <w:vAlign w:val="center"/>
                </w:tcPr>
                <w:p w14:paraId="765CA97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sz w:val="21"/>
                      <w:szCs w:val="21"/>
                      <w:highlight w:val="none"/>
                      <w:lang w:val="en-US" w:eastAsia="zh-CN"/>
                    </w:rPr>
                    <w:t>管道</w:t>
                  </w:r>
                  <w:r>
                    <w:rPr>
                      <w:rFonts w:hint="default" w:ascii="Times New Roman" w:hAnsi="Times New Roman" w:eastAsia="宋体" w:cs="Times New Roman"/>
                      <w:b w:val="0"/>
                      <w:bCs w:val="0"/>
                      <w:color w:val="auto"/>
                      <w:sz w:val="21"/>
                      <w:szCs w:val="21"/>
                      <w:highlight w:val="none"/>
                      <w:lang w:val="en-US" w:eastAsia="zh-CN"/>
                    </w:rPr>
                    <w:t>收集</w:t>
                  </w:r>
                </w:p>
              </w:tc>
              <w:tc>
                <w:tcPr>
                  <w:tcW w:w="0" w:type="auto"/>
                  <w:tcBorders>
                    <w:tl2br w:val="nil"/>
                    <w:tr2bl w:val="nil"/>
                  </w:tcBorders>
                  <w:shd w:val="clear" w:color="auto" w:fill="auto"/>
                  <w:vAlign w:val="center"/>
                </w:tcPr>
                <w:p w14:paraId="667A211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0" w:type="auto"/>
                  <w:tcBorders>
                    <w:tl2br w:val="nil"/>
                    <w:tr2bl w:val="nil"/>
                  </w:tcBorders>
                  <w:shd w:val="clear" w:color="auto" w:fill="auto"/>
                  <w:vAlign w:val="center"/>
                </w:tcPr>
                <w:p w14:paraId="41B9821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1264" w:type="dxa"/>
                  <w:tcBorders>
                    <w:tl2br w:val="nil"/>
                    <w:tr2bl w:val="nil"/>
                  </w:tcBorders>
                  <w:shd w:val="clear" w:color="auto" w:fill="auto"/>
                  <w:vAlign w:val="center"/>
                </w:tcPr>
                <w:p w14:paraId="65DB093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val="0"/>
                      <w:bCs w:val="0"/>
                      <w:color w:val="auto"/>
                      <w:sz w:val="21"/>
                      <w:szCs w:val="21"/>
                      <w:highlight w:val="none"/>
                      <w:lang w:val="en-US" w:eastAsia="zh-CN"/>
                    </w:rPr>
                    <w:t>0.0</w:t>
                  </w:r>
                  <w:r>
                    <w:rPr>
                      <w:rFonts w:hint="eastAsia" w:cs="Times New Roman"/>
                      <w:b w:val="0"/>
                      <w:bCs w:val="0"/>
                      <w:color w:val="auto"/>
                      <w:sz w:val="21"/>
                      <w:szCs w:val="21"/>
                      <w:highlight w:val="none"/>
                      <w:lang w:val="en-US" w:eastAsia="zh-CN"/>
                    </w:rPr>
                    <w:t>026</w:t>
                  </w:r>
                </w:p>
              </w:tc>
            </w:tr>
            <w:tr w14:paraId="3C8F8C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l2br w:val="nil"/>
                    <w:tr2bl w:val="nil"/>
                  </w:tcBorders>
                  <w:shd w:val="clear" w:color="auto" w:fill="auto"/>
                  <w:vAlign w:val="center"/>
                </w:tcPr>
                <w:p w14:paraId="3E04AB4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p>
              </w:tc>
              <w:tc>
                <w:tcPr>
                  <w:tcW w:w="0" w:type="auto"/>
                  <w:vMerge w:val="continue"/>
                  <w:tcBorders>
                    <w:tl2br w:val="nil"/>
                    <w:tr2bl w:val="nil"/>
                  </w:tcBorders>
                  <w:shd w:val="clear" w:color="auto" w:fill="auto"/>
                  <w:vAlign w:val="center"/>
                </w:tcPr>
                <w:p w14:paraId="6AAC5D7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p>
              </w:tc>
              <w:tc>
                <w:tcPr>
                  <w:tcW w:w="1374" w:type="dxa"/>
                  <w:tcBorders>
                    <w:tl2br w:val="nil"/>
                    <w:tr2bl w:val="nil"/>
                  </w:tcBorders>
                  <w:shd w:val="clear" w:color="auto" w:fill="auto"/>
                  <w:vAlign w:val="center"/>
                </w:tcPr>
                <w:p w14:paraId="48B34D7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颗粒物</w:t>
                  </w:r>
                </w:p>
              </w:tc>
              <w:tc>
                <w:tcPr>
                  <w:tcW w:w="1095" w:type="dxa"/>
                  <w:vMerge w:val="continue"/>
                  <w:tcBorders>
                    <w:tl2br w:val="nil"/>
                    <w:tr2bl w:val="nil"/>
                  </w:tcBorders>
                  <w:shd w:val="clear" w:color="auto" w:fill="auto"/>
                  <w:vAlign w:val="center"/>
                </w:tcPr>
                <w:p w14:paraId="5A810A37">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2004" w:type="dxa"/>
                  <w:tcBorders>
                    <w:tl2br w:val="nil"/>
                    <w:tr2bl w:val="nil"/>
                  </w:tcBorders>
                  <w:shd w:val="clear" w:color="auto" w:fill="auto"/>
                  <w:vAlign w:val="center"/>
                </w:tcPr>
                <w:p w14:paraId="7D4198C0">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Cs w:val="20"/>
                      <w:highlight w:val="none"/>
                      <w:lang w:val="en-US" w:eastAsia="zh-CN"/>
                    </w:rPr>
                    <w:t>镍钴锰酸锂</w:t>
                  </w:r>
                  <w:r>
                    <w:rPr>
                      <w:rFonts w:hint="default" w:ascii="Times New Roman" w:hAnsi="Times New Roman" w:eastAsia="宋体" w:cs="Times New Roman"/>
                      <w:color w:val="auto"/>
                      <w:sz w:val="21"/>
                      <w:szCs w:val="21"/>
                      <w:highlight w:val="none"/>
                      <w:lang w:val="en-US" w:eastAsia="zh-CN"/>
                    </w:rPr>
                    <w:t>、导电炭黑、</w:t>
                  </w:r>
                  <w:r>
                    <w:rPr>
                      <w:rFonts w:hint="eastAsia"/>
                      <w:color w:val="auto"/>
                      <w:szCs w:val="20"/>
                      <w:highlight w:val="none"/>
                      <w:lang w:val="en-US" w:eastAsia="zh-CN"/>
                    </w:rPr>
                    <w:t>石墨</w:t>
                  </w:r>
                  <w:r>
                    <w:rPr>
                      <w:rFonts w:hint="default" w:ascii="Times New Roman" w:hAnsi="Times New Roman" w:eastAsia="宋体" w:cs="Times New Roman"/>
                      <w:color w:val="auto"/>
                      <w:sz w:val="21"/>
                      <w:szCs w:val="21"/>
                      <w:highlight w:val="none"/>
                      <w:lang w:val="en-US" w:eastAsia="zh-CN"/>
                    </w:rPr>
                    <w:t>等</w:t>
                  </w:r>
                </w:p>
              </w:tc>
              <w:tc>
                <w:tcPr>
                  <w:tcW w:w="899" w:type="dxa"/>
                  <w:tcBorders>
                    <w:tl2br w:val="nil"/>
                    <w:tr2bl w:val="nil"/>
                  </w:tcBorders>
                  <w:shd w:val="clear" w:color="auto" w:fill="auto"/>
                  <w:vAlign w:val="center"/>
                </w:tcPr>
                <w:p w14:paraId="2F9EB09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sz w:val="21"/>
                      <w:szCs w:val="21"/>
                      <w:highlight w:val="none"/>
                      <w:lang w:val="en-US" w:eastAsia="zh-CN"/>
                    </w:rPr>
                    <w:t>0.627</w:t>
                  </w:r>
                </w:p>
              </w:tc>
              <w:tc>
                <w:tcPr>
                  <w:tcW w:w="0" w:type="auto"/>
                  <w:tcBorders>
                    <w:tl2br w:val="nil"/>
                    <w:tr2bl w:val="nil"/>
                  </w:tcBorders>
                  <w:shd w:val="clear" w:color="auto" w:fill="auto"/>
                  <w:vAlign w:val="center"/>
                </w:tcPr>
                <w:p w14:paraId="4C12B5A3">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highlight w:val="none"/>
                      <w:lang w:val="en-US" w:eastAsia="zh-CN"/>
                    </w:rPr>
                    <w:t>30%</w:t>
                  </w:r>
                </w:p>
              </w:tc>
              <w:tc>
                <w:tcPr>
                  <w:tcW w:w="0" w:type="auto"/>
                  <w:tcBorders>
                    <w:tl2br w:val="nil"/>
                    <w:tr2bl w:val="nil"/>
                  </w:tcBorders>
                  <w:shd w:val="clear" w:color="auto" w:fill="auto"/>
                  <w:vAlign w:val="center"/>
                </w:tcPr>
                <w:p w14:paraId="160B168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w:t>
                  </w:r>
                  <w:r>
                    <w:rPr>
                      <w:rFonts w:hint="eastAsia" w:cs="Times New Roman"/>
                      <w:b w:val="0"/>
                      <w:bCs w:val="0"/>
                      <w:color w:val="auto"/>
                      <w:sz w:val="21"/>
                      <w:szCs w:val="21"/>
                      <w:highlight w:val="none"/>
                      <w:lang w:val="en-US" w:eastAsia="zh-CN"/>
                    </w:rPr>
                    <w:t>0188</w:t>
                  </w:r>
                </w:p>
              </w:tc>
              <w:tc>
                <w:tcPr>
                  <w:tcW w:w="0" w:type="auto"/>
                  <w:vMerge w:val="continue"/>
                  <w:tcBorders>
                    <w:tl2br w:val="nil"/>
                    <w:tr2bl w:val="nil"/>
                  </w:tcBorders>
                  <w:shd w:val="clear" w:color="auto" w:fill="auto"/>
                  <w:vAlign w:val="center"/>
                </w:tcPr>
                <w:p w14:paraId="6BE0158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p>
              </w:tc>
              <w:tc>
                <w:tcPr>
                  <w:tcW w:w="0" w:type="auto"/>
                  <w:tcBorders>
                    <w:tl2br w:val="nil"/>
                    <w:tr2bl w:val="nil"/>
                  </w:tcBorders>
                  <w:shd w:val="clear" w:color="auto" w:fill="auto"/>
                  <w:vAlign w:val="center"/>
                </w:tcPr>
                <w:p w14:paraId="0F5E6CB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0" w:type="auto"/>
                  <w:tcBorders>
                    <w:tl2br w:val="nil"/>
                    <w:tr2bl w:val="nil"/>
                  </w:tcBorders>
                  <w:shd w:val="clear" w:color="auto" w:fill="auto"/>
                  <w:vAlign w:val="center"/>
                </w:tcPr>
                <w:p w14:paraId="0BF8C12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1264" w:type="dxa"/>
                  <w:tcBorders>
                    <w:tl2br w:val="nil"/>
                    <w:tr2bl w:val="nil"/>
                  </w:tcBorders>
                  <w:shd w:val="clear" w:color="auto" w:fill="auto"/>
                  <w:vAlign w:val="center"/>
                </w:tcPr>
                <w:p w14:paraId="416B2B8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val="0"/>
                      <w:bCs w:val="0"/>
                      <w:color w:val="auto"/>
                      <w:sz w:val="21"/>
                      <w:szCs w:val="21"/>
                      <w:highlight w:val="none"/>
                      <w:lang w:val="en-US" w:eastAsia="zh-CN"/>
                    </w:rPr>
                    <w:t>0.</w:t>
                  </w:r>
                  <w:r>
                    <w:rPr>
                      <w:rFonts w:hint="eastAsia" w:cs="Times New Roman"/>
                      <w:b w:val="0"/>
                      <w:bCs w:val="0"/>
                      <w:color w:val="auto"/>
                      <w:sz w:val="21"/>
                      <w:szCs w:val="21"/>
                      <w:highlight w:val="none"/>
                      <w:lang w:val="en-US" w:eastAsia="zh-CN"/>
                    </w:rPr>
                    <w:t>0188</w:t>
                  </w:r>
                </w:p>
              </w:tc>
            </w:tr>
            <w:tr w14:paraId="2CB6BE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l2br w:val="nil"/>
                    <w:tr2bl w:val="nil"/>
                  </w:tcBorders>
                  <w:shd w:val="clear" w:color="auto" w:fill="auto"/>
                  <w:vAlign w:val="center"/>
                </w:tcPr>
                <w:p w14:paraId="07DEB18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p>
              </w:tc>
              <w:tc>
                <w:tcPr>
                  <w:tcW w:w="0" w:type="auto"/>
                  <w:vMerge w:val="continue"/>
                  <w:tcBorders>
                    <w:tl2br w:val="nil"/>
                    <w:tr2bl w:val="nil"/>
                  </w:tcBorders>
                  <w:shd w:val="clear" w:color="auto" w:fill="auto"/>
                  <w:vAlign w:val="center"/>
                </w:tcPr>
                <w:p w14:paraId="1B497862">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p>
              </w:tc>
              <w:tc>
                <w:tcPr>
                  <w:tcW w:w="1374" w:type="dxa"/>
                  <w:tcBorders>
                    <w:tl2br w:val="nil"/>
                    <w:tr2bl w:val="nil"/>
                  </w:tcBorders>
                  <w:shd w:val="clear" w:color="auto" w:fill="auto"/>
                  <w:vAlign w:val="center"/>
                </w:tcPr>
                <w:p w14:paraId="0AF14A5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氟化物</w:t>
                  </w:r>
                </w:p>
              </w:tc>
              <w:tc>
                <w:tcPr>
                  <w:tcW w:w="1095" w:type="dxa"/>
                  <w:vMerge w:val="continue"/>
                  <w:tcBorders>
                    <w:tl2br w:val="nil"/>
                    <w:tr2bl w:val="nil"/>
                  </w:tcBorders>
                  <w:shd w:val="clear" w:color="auto" w:fill="auto"/>
                  <w:vAlign w:val="center"/>
                </w:tcPr>
                <w:p w14:paraId="09193C1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2004" w:type="dxa"/>
                  <w:tcBorders>
                    <w:tl2br w:val="nil"/>
                    <w:tr2bl w:val="nil"/>
                  </w:tcBorders>
                  <w:shd w:val="clear" w:color="auto" w:fill="auto"/>
                  <w:vAlign w:val="center"/>
                </w:tcPr>
                <w:p w14:paraId="0093A200">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LiPF</w:t>
                  </w:r>
                  <w:r>
                    <w:rPr>
                      <w:rFonts w:hint="default" w:ascii="Times New Roman" w:hAnsi="Times New Roman" w:eastAsia="宋体" w:cs="Times New Roman"/>
                      <w:color w:val="auto"/>
                      <w:sz w:val="21"/>
                      <w:szCs w:val="21"/>
                      <w:highlight w:val="none"/>
                      <w:vertAlign w:val="subscript"/>
                    </w:rPr>
                    <w:t>6</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lang w:val="en-US" w:eastAsia="zh-CN"/>
                    </w:rPr>
                    <w:t>PVDF</w:t>
                  </w:r>
                </w:p>
              </w:tc>
              <w:tc>
                <w:tcPr>
                  <w:tcW w:w="899" w:type="dxa"/>
                  <w:tcBorders>
                    <w:tl2br w:val="nil"/>
                    <w:tr2bl w:val="nil"/>
                  </w:tcBorders>
                  <w:shd w:val="clear" w:color="auto" w:fill="auto"/>
                  <w:vAlign w:val="center"/>
                </w:tcPr>
                <w:p w14:paraId="03E494E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0.0</w:t>
                  </w:r>
                  <w:r>
                    <w:rPr>
                      <w:rFonts w:hint="eastAsia" w:cs="Times New Roman"/>
                      <w:b w:val="0"/>
                      <w:bCs w:val="0"/>
                      <w:color w:val="auto"/>
                      <w:sz w:val="21"/>
                      <w:szCs w:val="21"/>
                      <w:highlight w:val="none"/>
                      <w:lang w:val="en-US" w:eastAsia="zh-CN"/>
                    </w:rPr>
                    <w:t>028</w:t>
                  </w:r>
                </w:p>
              </w:tc>
              <w:tc>
                <w:tcPr>
                  <w:tcW w:w="0" w:type="auto"/>
                  <w:tcBorders>
                    <w:tl2br w:val="nil"/>
                    <w:tr2bl w:val="nil"/>
                  </w:tcBorders>
                  <w:shd w:val="clear" w:color="auto" w:fill="auto"/>
                  <w:vAlign w:val="center"/>
                </w:tcPr>
                <w:p w14:paraId="4FDEE2A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0" w:type="auto"/>
                  <w:tcBorders>
                    <w:tl2br w:val="nil"/>
                    <w:tr2bl w:val="nil"/>
                  </w:tcBorders>
                  <w:shd w:val="clear" w:color="auto" w:fill="auto"/>
                  <w:vAlign w:val="center"/>
                </w:tcPr>
                <w:p w14:paraId="7FE6B15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0.00</w:t>
                  </w:r>
                  <w:r>
                    <w:rPr>
                      <w:rFonts w:hint="eastAsia" w:cs="Times New Roman"/>
                      <w:b w:val="0"/>
                      <w:bCs w:val="0"/>
                      <w:color w:val="auto"/>
                      <w:sz w:val="21"/>
                      <w:szCs w:val="21"/>
                      <w:highlight w:val="none"/>
                      <w:lang w:val="en-US" w:eastAsia="zh-CN"/>
                    </w:rPr>
                    <w:t>04</w:t>
                  </w:r>
                </w:p>
              </w:tc>
              <w:tc>
                <w:tcPr>
                  <w:tcW w:w="0" w:type="auto"/>
                  <w:vMerge w:val="continue"/>
                  <w:tcBorders>
                    <w:tl2br w:val="nil"/>
                    <w:tr2bl w:val="nil"/>
                  </w:tcBorders>
                  <w:shd w:val="clear" w:color="auto" w:fill="auto"/>
                  <w:vAlign w:val="center"/>
                </w:tcPr>
                <w:p w14:paraId="3573317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p>
              </w:tc>
              <w:tc>
                <w:tcPr>
                  <w:tcW w:w="0" w:type="auto"/>
                  <w:tcBorders>
                    <w:tl2br w:val="nil"/>
                    <w:tr2bl w:val="nil"/>
                  </w:tcBorders>
                  <w:shd w:val="clear" w:color="auto" w:fill="auto"/>
                  <w:vAlign w:val="center"/>
                </w:tcPr>
                <w:p w14:paraId="69646B0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0" w:type="auto"/>
                  <w:tcBorders>
                    <w:tl2br w:val="nil"/>
                    <w:tr2bl w:val="nil"/>
                  </w:tcBorders>
                  <w:shd w:val="clear" w:color="auto" w:fill="auto"/>
                  <w:vAlign w:val="center"/>
                </w:tcPr>
                <w:p w14:paraId="4500085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c>
                <w:tcPr>
                  <w:tcW w:w="1264" w:type="dxa"/>
                  <w:tcBorders>
                    <w:tl2br w:val="nil"/>
                    <w:tr2bl w:val="nil"/>
                  </w:tcBorders>
                  <w:shd w:val="clear" w:color="auto" w:fill="auto"/>
                  <w:vAlign w:val="center"/>
                </w:tcPr>
                <w:p w14:paraId="357F65C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val="0"/>
                      <w:bCs w:val="0"/>
                      <w:color w:val="auto"/>
                      <w:sz w:val="21"/>
                      <w:szCs w:val="21"/>
                      <w:highlight w:val="none"/>
                      <w:lang w:val="en-US" w:eastAsia="zh-CN"/>
                    </w:rPr>
                    <w:t>0.00</w:t>
                  </w:r>
                  <w:r>
                    <w:rPr>
                      <w:rFonts w:hint="eastAsia" w:cs="Times New Roman"/>
                      <w:b w:val="0"/>
                      <w:bCs w:val="0"/>
                      <w:color w:val="auto"/>
                      <w:sz w:val="21"/>
                      <w:szCs w:val="21"/>
                      <w:highlight w:val="none"/>
                      <w:lang w:val="en-US" w:eastAsia="zh-CN"/>
                    </w:rPr>
                    <w:t>04</w:t>
                  </w:r>
                </w:p>
              </w:tc>
            </w:tr>
            <w:tr w14:paraId="4551B4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shd w:val="clear" w:color="auto" w:fill="auto"/>
                  <w:vAlign w:val="center"/>
                </w:tcPr>
                <w:p w14:paraId="504F91D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G2</w:t>
                  </w:r>
                </w:p>
              </w:tc>
              <w:tc>
                <w:tcPr>
                  <w:tcW w:w="0" w:type="auto"/>
                  <w:tcBorders>
                    <w:tl2br w:val="nil"/>
                    <w:tr2bl w:val="nil"/>
                  </w:tcBorders>
                  <w:shd w:val="clear" w:color="auto" w:fill="auto"/>
                  <w:vAlign w:val="center"/>
                </w:tcPr>
                <w:p w14:paraId="20B93A7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危废贮存</w:t>
                  </w:r>
                </w:p>
              </w:tc>
              <w:tc>
                <w:tcPr>
                  <w:tcW w:w="1374" w:type="dxa"/>
                  <w:tcBorders>
                    <w:tl2br w:val="nil"/>
                    <w:tr2bl w:val="nil"/>
                  </w:tcBorders>
                  <w:shd w:val="clear" w:color="auto" w:fill="auto"/>
                  <w:vAlign w:val="center"/>
                </w:tcPr>
                <w:p w14:paraId="1D6E145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非甲烷总烃</w:t>
                  </w:r>
                </w:p>
              </w:tc>
              <w:tc>
                <w:tcPr>
                  <w:tcW w:w="1095" w:type="dxa"/>
                  <w:tcBorders>
                    <w:tl2br w:val="nil"/>
                    <w:tr2bl w:val="nil"/>
                  </w:tcBorders>
                  <w:shd w:val="clear" w:color="auto" w:fill="auto"/>
                  <w:vAlign w:val="center"/>
                </w:tcPr>
                <w:p w14:paraId="4C413EC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产污系数</w:t>
                  </w:r>
                </w:p>
              </w:tc>
              <w:tc>
                <w:tcPr>
                  <w:tcW w:w="2004" w:type="dxa"/>
                  <w:tcBorders>
                    <w:tl2br w:val="nil"/>
                    <w:tr2bl w:val="nil"/>
                  </w:tcBorders>
                  <w:shd w:val="clear" w:color="auto" w:fill="auto"/>
                  <w:vAlign w:val="center"/>
                </w:tcPr>
                <w:p w14:paraId="4FA4B21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危废量</w:t>
                  </w:r>
                </w:p>
              </w:tc>
              <w:tc>
                <w:tcPr>
                  <w:tcW w:w="7013" w:type="dxa"/>
                  <w:gridSpan w:val="7"/>
                  <w:tcBorders>
                    <w:tl2br w:val="nil"/>
                    <w:tr2bl w:val="nil"/>
                  </w:tcBorders>
                  <w:shd w:val="clear" w:color="auto" w:fill="auto"/>
                  <w:vAlign w:val="center"/>
                </w:tcPr>
                <w:p w14:paraId="777A5D80">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不定量计算</w:t>
                  </w:r>
                </w:p>
              </w:tc>
            </w:tr>
          </w:tbl>
          <w:p w14:paraId="32196825">
            <w:pPr>
              <w:rPr>
                <w:rFonts w:hint="eastAsia"/>
                <w:color w:val="auto"/>
                <w:highlight w:val="none"/>
                <w:lang w:val="en-US" w:eastAsia="zh-CN"/>
              </w:rPr>
            </w:pPr>
            <w:r>
              <w:rPr>
                <w:rFonts w:hint="eastAsia"/>
                <w:color w:val="auto"/>
                <w:highlight w:val="none"/>
                <w:lang w:val="en-US" w:eastAsia="zh-CN"/>
              </w:rPr>
              <w:t>本项目大气污染物无组织排放情况详见下表。</w:t>
            </w:r>
          </w:p>
          <w:p w14:paraId="3E68E1A6">
            <w:pPr>
              <w:pStyle w:val="52"/>
              <w:bidi w:val="0"/>
              <w:ind w:left="5518" w:leftChars="0" w:hanging="5518" w:firstLineChars="0"/>
              <w:rPr>
                <w:rFonts w:hint="default"/>
                <w:color w:val="auto"/>
              </w:rPr>
            </w:pPr>
            <w:r>
              <w:rPr>
                <w:rFonts w:hint="eastAsia"/>
                <w:color w:val="auto"/>
              </w:rPr>
              <w:t>本项目</w:t>
            </w:r>
            <w:r>
              <w:rPr>
                <w:rFonts w:hint="eastAsia"/>
                <w:color w:val="auto"/>
                <w:lang w:val="en-US" w:eastAsia="zh-CN"/>
              </w:rPr>
              <w:t>大</w:t>
            </w:r>
            <w:r>
              <w:rPr>
                <w:rFonts w:hint="default"/>
                <w:color w:val="auto"/>
              </w:rPr>
              <w:t>气污染物无组织</w:t>
            </w:r>
            <w:r>
              <w:rPr>
                <w:rFonts w:hint="eastAsia"/>
                <w:color w:val="auto"/>
              </w:rPr>
              <w:t>产排情况</w:t>
            </w:r>
            <w:r>
              <w:rPr>
                <w:rFonts w:hint="default"/>
                <w:color w:val="auto"/>
              </w:rPr>
              <w:t>表</w:t>
            </w:r>
          </w:p>
          <w:tbl>
            <w:tblPr>
              <w:tblStyle w:val="33"/>
              <w:tblW w:w="499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121"/>
              <w:gridCol w:w="1362"/>
              <w:gridCol w:w="724"/>
              <w:gridCol w:w="1053"/>
              <w:gridCol w:w="986"/>
              <w:gridCol w:w="1388"/>
              <w:gridCol w:w="859"/>
              <w:gridCol w:w="859"/>
              <w:gridCol w:w="1053"/>
              <w:gridCol w:w="1001"/>
              <w:gridCol w:w="983"/>
              <w:gridCol w:w="879"/>
            </w:tblGrid>
            <w:tr w14:paraId="527AF6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7" w:type="pct"/>
                  <w:vMerge w:val="restart"/>
                  <w:tcBorders>
                    <w:tl2br w:val="nil"/>
                    <w:tr2bl w:val="nil"/>
                  </w:tcBorders>
                  <w:vAlign w:val="center"/>
                </w:tcPr>
                <w:p w14:paraId="05F815EE">
                  <w:pPr>
                    <w:pStyle w:val="48"/>
                    <w:bidi w:val="0"/>
                    <w:rPr>
                      <w:rFonts w:hint="default"/>
                      <w:b/>
                      <w:bCs/>
                      <w:color w:val="auto"/>
                      <w:highlight w:val="none"/>
                      <w:lang w:val="en-US" w:eastAsia="zh-CN"/>
                    </w:rPr>
                  </w:pPr>
                  <w:r>
                    <w:rPr>
                      <w:rFonts w:hint="eastAsia"/>
                      <w:b/>
                      <w:bCs/>
                      <w:color w:val="auto"/>
                      <w:highlight w:val="none"/>
                      <w:lang w:val="en-US" w:eastAsia="zh-CN"/>
                    </w:rPr>
                    <w:t>面源名称</w:t>
                  </w:r>
                </w:p>
              </w:tc>
              <w:tc>
                <w:tcPr>
                  <w:tcW w:w="432" w:type="pct"/>
                  <w:vMerge w:val="restart"/>
                  <w:tcBorders>
                    <w:tl2br w:val="nil"/>
                    <w:tr2bl w:val="nil"/>
                  </w:tcBorders>
                  <w:vAlign w:val="center"/>
                </w:tcPr>
                <w:p w14:paraId="28257890">
                  <w:pPr>
                    <w:pStyle w:val="48"/>
                    <w:bidi w:val="0"/>
                    <w:rPr>
                      <w:b/>
                      <w:bCs/>
                      <w:color w:val="auto"/>
                      <w:highlight w:val="none"/>
                    </w:rPr>
                  </w:pPr>
                  <w:r>
                    <w:rPr>
                      <w:b/>
                      <w:bCs/>
                      <w:color w:val="auto"/>
                      <w:highlight w:val="none"/>
                    </w:rPr>
                    <w:t>产生</w:t>
                  </w:r>
                  <w:r>
                    <w:rPr>
                      <w:rFonts w:hint="eastAsia"/>
                      <w:b/>
                      <w:bCs/>
                      <w:color w:val="auto"/>
                      <w:highlight w:val="none"/>
                    </w:rPr>
                    <w:t>工序</w:t>
                  </w:r>
                </w:p>
              </w:tc>
              <w:tc>
                <w:tcPr>
                  <w:tcW w:w="525" w:type="pct"/>
                  <w:vMerge w:val="restart"/>
                  <w:tcBorders>
                    <w:tl2br w:val="nil"/>
                    <w:tr2bl w:val="nil"/>
                  </w:tcBorders>
                  <w:vAlign w:val="center"/>
                </w:tcPr>
                <w:p w14:paraId="3C8BDCE9">
                  <w:pPr>
                    <w:pStyle w:val="48"/>
                    <w:bidi w:val="0"/>
                    <w:rPr>
                      <w:b/>
                      <w:bCs/>
                      <w:color w:val="auto"/>
                      <w:highlight w:val="none"/>
                    </w:rPr>
                  </w:pPr>
                  <w:r>
                    <w:rPr>
                      <w:b/>
                      <w:bCs/>
                      <w:color w:val="auto"/>
                      <w:highlight w:val="none"/>
                    </w:rPr>
                    <w:t>污染物名称</w:t>
                  </w:r>
                </w:p>
              </w:tc>
              <w:tc>
                <w:tcPr>
                  <w:tcW w:w="279" w:type="pct"/>
                  <w:vMerge w:val="restart"/>
                  <w:tcBorders>
                    <w:tl2br w:val="nil"/>
                    <w:tr2bl w:val="nil"/>
                  </w:tcBorders>
                  <w:vAlign w:val="center"/>
                </w:tcPr>
                <w:p w14:paraId="0A3A5FFA">
                  <w:pPr>
                    <w:pStyle w:val="48"/>
                    <w:bidi w:val="0"/>
                    <w:rPr>
                      <w:rFonts w:hint="default"/>
                      <w:b/>
                      <w:bCs/>
                      <w:color w:val="auto"/>
                      <w:highlight w:val="none"/>
                      <w:lang w:val="en-US" w:eastAsia="zh-CN"/>
                    </w:rPr>
                  </w:pPr>
                  <w:r>
                    <w:rPr>
                      <w:rFonts w:hint="eastAsia"/>
                      <w:b/>
                      <w:bCs/>
                      <w:color w:val="auto"/>
                      <w:highlight w:val="none"/>
                      <w:lang w:val="en-US" w:eastAsia="zh-CN"/>
                    </w:rPr>
                    <w:t>工作时间h/a</w:t>
                  </w:r>
                </w:p>
              </w:tc>
              <w:tc>
                <w:tcPr>
                  <w:tcW w:w="786" w:type="pct"/>
                  <w:gridSpan w:val="2"/>
                  <w:tcBorders>
                    <w:tl2br w:val="nil"/>
                    <w:tr2bl w:val="nil"/>
                  </w:tcBorders>
                  <w:vAlign w:val="center"/>
                </w:tcPr>
                <w:p w14:paraId="5E11AE20">
                  <w:pPr>
                    <w:pStyle w:val="48"/>
                    <w:bidi w:val="0"/>
                    <w:rPr>
                      <w:b/>
                      <w:bCs/>
                      <w:color w:val="auto"/>
                      <w:highlight w:val="none"/>
                    </w:rPr>
                  </w:pPr>
                  <w:r>
                    <w:rPr>
                      <w:rFonts w:hint="eastAsia"/>
                      <w:b/>
                      <w:bCs/>
                      <w:color w:val="auto"/>
                      <w:highlight w:val="none"/>
                    </w:rPr>
                    <w:t>产生情况</w:t>
                  </w:r>
                </w:p>
              </w:tc>
              <w:tc>
                <w:tcPr>
                  <w:tcW w:w="535" w:type="pct"/>
                  <w:vMerge w:val="restart"/>
                  <w:tcBorders>
                    <w:tl2br w:val="nil"/>
                    <w:tr2bl w:val="nil"/>
                  </w:tcBorders>
                  <w:vAlign w:val="center"/>
                </w:tcPr>
                <w:p w14:paraId="3F7B46E5">
                  <w:pPr>
                    <w:pStyle w:val="48"/>
                    <w:bidi w:val="0"/>
                    <w:rPr>
                      <w:b/>
                      <w:bCs/>
                      <w:color w:val="auto"/>
                      <w:highlight w:val="none"/>
                    </w:rPr>
                  </w:pPr>
                  <w:r>
                    <w:rPr>
                      <w:rFonts w:hint="eastAsia"/>
                      <w:b/>
                      <w:bCs/>
                      <w:color w:val="auto"/>
                      <w:highlight w:val="none"/>
                    </w:rPr>
                    <w:t>处理措施</w:t>
                  </w:r>
                </w:p>
              </w:tc>
              <w:tc>
                <w:tcPr>
                  <w:tcW w:w="331" w:type="pct"/>
                  <w:vMerge w:val="restart"/>
                  <w:tcBorders>
                    <w:tl2br w:val="nil"/>
                    <w:tr2bl w:val="nil"/>
                  </w:tcBorders>
                  <w:vAlign w:val="center"/>
                </w:tcPr>
                <w:p w14:paraId="02398A44">
                  <w:pPr>
                    <w:pStyle w:val="48"/>
                    <w:bidi w:val="0"/>
                    <w:rPr>
                      <w:rFonts w:hint="default"/>
                      <w:b/>
                      <w:bCs/>
                      <w:color w:val="auto"/>
                      <w:highlight w:val="none"/>
                      <w:lang w:val="en-US" w:eastAsia="zh-CN"/>
                    </w:rPr>
                  </w:pPr>
                  <w:r>
                    <w:rPr>
                      <w:rFonts w:hint="eastAsia"/>
                      <w:b/>
                      <w:bCs/>
                      <w:color w:val="auto"/>
                      <w:highlight w:val="none"/>
                      <w:lang w:val="en-US" w:eastAsia="zh-CN"/>
                    </w:rPr>
                    <w:t>收集效率%</w:t>
                  </w:r>
                </w:p>
              </w:tc>
              <w:tc>
                <w:tcPr>
                  <w:tcW w:w="331" w:type="pct"/>
                  <w:vMerge w:val="restart"/>
                  <w:tcBorders>
                    <w:tl2br w:val="nil"/>
                    <w:tr2bl w:val="nil"/>
                  </w:tcBorders>
                  <w:vAlign w:val="center"/>
                </w:tcPr>
                <w:p w14:paraId="6A87802B">
                  <w:pPr>
                    <w:pStyle w:val="48"/>
                    <w:bidi w:val="0"/>
                    <w:rPr>
                      <w:rFonts w:hint="default"/>
                      <w:b/>
                      <w:bCs/>
                      <w:color w:val="auto"/>
                      <w:highlight w:val="none"/>
                      <w:lang w:val="en-US" w:eastAsia="zh-CN"/>
                    </w:rPr>
                  </w:pPr>
                  <w:r>
                    <w:rPr>
                      <w:rFonts w:hint="eastAsia"/>
                      <w:b/>
                      <w:bCs/>
                      <w:color w:val="auto"/>
                      <w:highlight w:val="none"/>
                      <w:lang w:val="en-US" w:eastAsia="zh-CN"/>
                    </w:rPr>
                    <w:t>处理效率%</w:t>
                  </w:r>
                </w:p>
              </w:tc>
              <w:tc>
                <w:tcPr>
                  <w:tcW w:w="792" w:type="pct"/>
                  <w:gridSpan w:val="2"/>
                  <w:tcBorders>
                    <w:tl2br w:val="nil"/>
                    <w:tr2bl w:val="nil"/>
                  </w:tcBorders>
                  <w:vAlign w:val="center"/>
                </w:tcPr>
                <w:p w14:paraId="44EA9EF2">
                  <w:pPr>
                    <w:pStyle w:val="48"/>
                    <w:bidi w:val="0"/>
                    <w:rPr>
                      <w:b/>
                      <w:bCs/>
                      <w:color w:val="auto"/>
                      <w:highlight w:val="none"/>
                    </w:rPr>
                  </w:pPr>
                  <w:r>
                    <w:rPr>
                      <w:rFonts w:hint="eastAsia"/>
                      <w:b/>
                      <w:bCs/>
                      <w:color w:val="auto"/>
                      <w:highlight w:val="none"/>
                    </w:rPr>
                    <w:t>排放情况</w:t>
                  </w:r>
                </w:p>
              </w:tc>
              <w:tc>
                <w:tcPr>
                  <w:tcW w:w="718" w:type="pct"/>
                  <w:gridSpan w:val="2"/>
                  <w:tcBorders>
                    <w:tl2br w:val="nil"/>
                    <w:tr2bl w:val="nil"/>
                  </w:tcBorders>
                  <w:vAlign w:val="center"/>
                </w:tcPr>
                <w:p w14:paraId="41525FC4">
                  <w:pPr>
                    <w:pStyle w:val="48"/>
                    <w:bidi w:val="0"/>
                    <w:rPr>
                      <w:b/>
                      <w:bCs/>
                      <w:color w:val="auto"/>
                      <w:highlight w:val="none"/>
                    </w:rPr>
                  </w:pPr>
                  <w:r>
                    <w:rPr>
                      <w:b/>
                      <w:bCs/>
                      <w:color w:val="auto"/>
                      <w:highlight w:val="none"/>
                    </w:rPr>
                    <w:t>面源参数</w:t>
                  </w:r>
                </w:p>
              </w:tc>
            </w:tr>
            <w:tr w14:paraId="0BA5DC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267" w:type="pct"/>
                  <w:vMerge w:val="continue"/>
                  <w:tcBorders>
                    <w:tl2br w:val="nil"/>
                    <w:tr2bl w:val="nil"/>
                  </w:tcBorders>
                  <w:vAlign w:val="center"/>
                </w:tcPr>
                <w:p w14:paraId="058758C3">
                  <w:pPr>
                    <w:pStyle w:val="48"/>
                    <w:bidi w:val="0"/>
                    <w:rPr>
                      <w:b/>
                      <w:bCs/>
                      <w:color w:val="auto"/>
                      <w:highlight w:val="none"/>
                    </w:rPr>
                  </w:pPr>
                </w:p>
              </w:tc>
              <w:tc>
                <w:tcPr>
                  <w:tcW w:w="432" w:type="pct"/>
                  <w:vMerge w:val="continue"/>
                  <w:tcBorders>
                    <w:tl2br w:val="nil"/>
                    <w:tr2bl w:val="nil"/>
                  </w:tcBorders>
                  <w:vAlign w:val="center"/>
                </w:tcPr>
                <w:p w14:paraId="516F6F01">
                  <w:pPr>
                    <w:pStyle w:val="48"/>
                    <w:bidi w:val="0"/>
                    <w:rPr>
                      <w:b/>
                      <w:bCs/>
                      <w:color w:val="auto"/>
                      <w:highlight w:val="none"/>
                    </w:rPr>
                  </w:pPr>
                </w:p>
              </w:tc>
              <w:tc>
                <w:tcPr>
                  <w:tcW w:w="525" w:type="pct"/>
                  <w:vMerge w:val="continue"/>
                  <w:tcBorders>
                    <w:tl2br w:val="nil"/>
                    <w:tr2bl w:val="nil"/>
                  </w:tcBorders>
                  <w:vAlign w:val="center"/>
                </w:tcPr>
                <w:p w14:paraId="3139D7EF">
                  <w:pPr>
                    <w:pStyle w:val="48"/>
                    <w:bidi w:val="0"/>
                    <w:rPr>
                      <w:b/>
                      <w:bCs/>
                      <w:color w:val="auto"/>
                      <w:highlight w:val="none"/>
                    </w:rPr>
                  </w:pPr>
                </w:p>
              </w:tc>
              <w:tc>
                <w:tcPr>
                  <w:tcW w:w="279" w:type="pct"/>
                  <w:vMerge w:val="continue"/>
                  <w:tcBorders>
                    <w:tl2br w:val="nil"/>
                    <w:tr2bl w:val="nil"/>
                  </w:tcBorders>
                  <w:vAlign w:val="center"/>
                </w:tcPr>
                <w:p w14:paraId="0115E35C">
                  <w:pPr>
                    <w:pStyle w:val="48"/>
                    <w:bidi w:val="0"/>
                    <w:rPr>
                      <w:b/>
                      <w:bCs/>
                      <w:color w:val="auto"/>
                      <w:highlight w:val="none"/>
                    </w:rPr>
                  </w:pPr>
                </w:p>
              </w:tc>
              <w:tc>
                <w:tcPr>
                  <w:tcW w:w="406" w:type="pct"/>
                  <w:tcBorders>
                    <w:tl2br w:val="nil"/>
                    <w:tr2bl w:val="nil"/>
                  </w:tcBorders>
                  <w:vAlign w:val="center"/>
                </w:tcPr>
                <w:p w14:paraId="7CD766DA">
                  <w:pPr>
                    <w:pStyle w:val="48"/>
                    <w:bidi w:val="0"/>
                    <w:rPr>
                      <w:b/>
                      <w:bCs/>
                      <w:color w:val="auto"/>
                      <w:highlight w:val="none"/>
                    </w:rPr>
                  </w:pPr>
                  <w:r>
                    <w:rPr>
                      <w:rFonts w:hint="eastAsia"/>
                      <w:b/>
                      <w:bCs/>
                      <w:color w:val="auto"/>
                      <w:highlight w:val="none"/>
                    </w:rPr>
                    <w:t>产生</w:t>
                  </w:r>
                  <w:r>
                    <w:rPr>
                      <w:b/>
                      <w:bCs/>
                      <w:color w:val="auto"/>
                      <w:highlight w:val="none"/>
                    </w:rPr>
                    <w:t>速率kg/h</w:t>
                  </w:r>
                </w:p>
              </w:tc>
              <w:tc>
                <w:tcPr>
                  <w:tcW w:w="379" w:type="pct"/>
                  <w:tcBorders>
                    <w:tl2br w:val="nil"/>
                    <w:tr2bl w:val="nil"/>
                  </w:tcBorders>
                  <w:vAlign w:val="center"/>
                </w:tcPr>
                <w:p w14:paraId="5FB6273D">
                  <w:pPr>
                    <w:pStyle w:val="48"/>
                    <w:bidi w:val="0"/>
                    <w:rPr>
                      <w:b/>
                      <w:bCs/>
                      <w:color w:val="auto"/>
                      <w:highlight w:val="none"/>
                    </w:rPr>
                  </w:pPr>
                  <w:r>
                    <w:rPr>
                      <w:rFonts w:hint="eastAsia"/>
                      <w:b/>
                      <w:bCs/>
                      <w:color w:val="auto"/>
                      <w:highlight w:val="none"/>
                    </w:rPr>
                    <w:t>产生</w:t>
                  </w:r>
                  <w:r>
                    <w:rPr>
                      <w:b/>
                      <w:bCs/>
                      <w:color w:val="auto"/>
                      <w:highlight w:val="none"/>
                    </w:rPr>
                    <w:t>量</w:t>
                  </w:r>
                  <w:r>
                    <w:rPr>
                      <w:rFonts w:hint="eastAsia"/>
                      <w:b/>
                      <w:bCs/>
                      <w:color w:val="auto"/>
                      <w:highlight w:val="none"/>
                      <w:lang w:val="en-US" w:eastAsia="zh-CN"/>
                    </w:rPr>
                    <w:t>t</w:t>
                  </w:r>
                  <w:r>
                    <w:rPr>
                      <w:b/>
                      <w:bCs/>
                      <w:color w:val="auto"/>
                      <w:highlight w:val="none"/>
                    </w:rPr>
                    <w:t>/a</w:t>
                  </w:r>
                </w:p>
              </w:tc>
              <w:tc>
                <w:tcPr>
                  <w:tcW w:w="535" w:type="pct"/>
                  <w:vMerge w:val="continue"/>
                  <w:tcBorders>
                    <w:tl2br w:val="nil"/>
                    <w:tr2bl w:val="nil"/>
                  </w:tcBorders>
                  <w:vAlign w:val="center"/>
                </w:tcPr>
                <w:p w14:paraId="7628D654">
                  <w:pPr>
                    <w:pStyle w:val="48"/>
                    <w:bidi w:val="0"/>
                    <w:rPr>
                      <w:b/>
                      <w:bCs/>
                      <w:color w:val="auto"/>
                      <w:highlight w:val="none"/>
                    </w:rPr>
                  </w:pPr>
                </w:p>
              </w:tc>
              <w:tc>
                <w:tcPr>
                  <w:tcW w:w="331" w:type="pct"/>
                  <w:vMerge w:val="continue"/>
                  <w:tcBorders>
                    <w:tl2br w:val="nil"/>
                    <w:tr2bl w:val="nil"/>
                  </w:tcBorders>
                  <w:vAlign w:val="center"/>
                </w:tcPr>
                <w:p w14:paraId="2750E6E9">
                  <w:pPr>
                    <w:pStyle w:val="48"/>
                    <w:bidi w:val="0"/>
                    <w:rPr>
                      <w:b/>
                      <w:bCs/>
                      <w:color w:val="auto"/>
                      <w:highlight w:val="none"/>
                    </w:rPr>
                  </w:pPr>
                </w:p>
              </w:tc>
              <w:tc>
                <w:tcPr>
                  <w:tcW w:w="331" w:type="pct"/>
                  <w:vMerge w:val="continue"/>
                  <w:tcBorders>
                    <w:tl2br w:val="nil"/>
                    <w:tr2bl w:val="nil"/>
                  </w:tcBorders>
                  <w:vAlign w:val="center"/>
                </w:tcPr>
                <w:p w14:paraId="4E708180">
                  <w:pPr>
                    <w:pStyle w:val="48"/>
                    <w:bidi w:val="0"/>
                    <w:rPr>
                      <w:b/>
                      <w:bCs/>
                      <w:color w:val="auto"/>
                      <w:highlight w:val="none"/>
                    </w:rPr>
                  </w:pPr>
                </w:p>
              </w:tc>
              <w:tc>
                <w:tcPr>
                  <w:tcW w:w="406" w:type="pct"/>
                  <w:tcBorders>
                    <w:tl2br w:val="nil"/>
                    <w:tr2bl w:val="nil"/>
                  </w:tcBorders>
                  <w:vAlign w:val="center"/>
                </w:tcPr>
                <w:p w14:paraId="2B8039EC">
                  <w:pPr>
                    <w:pStyle w:val="48"/>
                    <w:bidi w:val="0"/>
                    <w:rPr>
                      <w:b/>
                      <w:bCs/>
                      <w:color w:val="auto"/>
                      <w:highlight w:val="none"/>
                    </w:rPr>
                  </w:pPr>
                  <w:r>
                    <w:rPr>
                      <w:b/>
                      <w:bCs/>
                      <w:color w:val="auto"/>
                      <w:highlight w:val="none"/>
                    </w:rPr>
                    <w:t>排放速率kg/h</w:t>
                  </w:r>
                </w:p>
              </w:tc>
              <w:tc>
                <w:tcPr>
                  <w:tcW w:w="385" w:type="pct"/>
                  <w:tcBorders>
                    <w:tl2br w:val="nil"/>
                    <w:tr2bl w:val="nil"/>
                  </w:tcBorders>
                  <w:vAlign w:val="center"/>
                </w:tcPr>
                <w:p w14:paraId="6FFEA25C">
                  <w:pPr>
                    <w:pStyle w:val="48"/>
                    <w:bidi w:val="0"/>
                    <w:rPr>
                      <w:b/>
                      <w:bCs/>
                      <w:color w:val="auto"/>
                      <w:highlight w:val="none"/>
                    </w:rPr>
                  </w:pPr>
                  <w:r>
                    <w:rPr>
                      <w:b/>
                      <w:bCs/>
                      <w:color w:val="auto"/>
                      <w:highlight w:val="none"/>
                    </w:rPr>
                    <w:t>排放量</w:t>
                  </w:r>
                  <w:r>
                    <w:rPr>
                      <w:rFonts w:hint="eastAsia"/>
                      <w:b/>
                      <w:bCs/>
                      <w:color w:val="auto"/>
                      <w:highlight w:val="none"/>
                      <w:lang w:val="en-US" w:eastAsia="zh-CN"/>
                    </w:rPr>
                    <w:t>t</w:t>
                  </w:r>
                  <w:r>
                    <w:rPr>
                      <w:b/>
                      <w:bCs/>
                      <w:color w:val="auto"/>
                      <w:highlight w:val="none"/>
                    </w:rPr>
                    <w:t>/a</w:t>
                  </w:r>
                </w:p>
              </w:tc>
              <w:tc>
                <w:tcPr>
                  <w:tcW w:w="379" w:type="pct"/>
                  <w:tcBorders>
                    <w:tl2br w:val="nil"/>
                    <w:tr2bl w:val="nil"/>
                  </w:tcBorders>
                  <w:vAlign w:val="center"/>
                </w:tcPr>
                <w:p w14:paraId="3A0A683E">
                  <w:pPr>
                    <w:pStyle w:val="48"/>
                    <w:bidi w:val="0"/>
                    <w:rPr>
                      <w:rFonts w:hint="default"/>
                      <w:b/>
                      <w:bCs/>
                      <w:color w:val="auto"/>
                      <w:highlight w:val="none"/>
                      <w:lang w:val="en-US" w:eastAsia="zh-CN"/>
                    </w:rPr>
                  </w:pPr>
                  <w:r>
                    <w:rPr>
                      <w:rFonts w:hint="eastAsia"/>
                      <w:b/>
                      <w:bCs/>
                      <w:color w:val="auto"/>
                      <w:highlight w:val="none"/>
                      <w:lang w:val="en-US" w:eastAsia="zh-CN"/>
                    </w:rPr>
                    <w:t>面源面积m</w:t>
                  </w:r>
                  <w:r>
                    <w:rPr>
                      <w:rFonts w:hint="eastAsia"/>
                      <w:b/>
                      <w:bCs/>
                      <w:color w:val="auto"/>
                      <w:highlight w:val="none"/>
                      <w:vertAlign w:val="superscript"/>
                      <w:lang w:val="en-US" w:eastAsia="zh-CN"/>
                    </w:rPr>
                    <w:t>2</w:t>
                  </w:r>
                </w:p>
              </w:tc>
              <w:tc>
                <w:tcPr>
                  <w:tcW w:w="339" w:type="pct"/>
                  <w:tcBorders>
                    <w:tl2br w:val="nil"/>
                    <w:tr2bl w:val="nil"/>
                  </w:tcBorders>
                  <w:vAlign w:val="center"/>
                </w:tcPr>
                <w:p w14:paraId="4C377B5F">
                  <w:pPr>
                    <w:pStyle w:val="48"/>
                    <w:bidi w:val="0"/>
                    <w:rPr>
                      <w:rFonts w:hint="default"/>
                      <w:b/>
                      <w:bCs/>
                      <w:color w:val="auto"/>
                      <w:highlight w:val="none"/>
                      <w:lang w:val="en-US" w:eastAsia="zh-CN"/>
                    </w:rPr>
                  </w:pPr>
                  <w:r>
                    <w:rPr>
                      <w:rFonts w:hint="eastAsia"/>
                      <w:b/>
                      <w:bCs/>
                      <w:color w:val="auto"/>
                      <w:highlight w:val="none"/>
                      <w:lang w:val="en-US" w:eastAsia="zh-CN"/>
                    </w:rPr>
                    <w:t>面源高度m</w:t>
                  </w:r>
                </w:p>
              </w:tc>
            </w:tr>
            <w:tr w14:paraId="7429E7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Merge w:val="restart"/>
                  <w:tcBorders>
                    <w:tl2br w:val="nil"/>
                    <w:tr2bl w:val="nil"/>
                  </w:tcBorders>
                  <w:vAlign w:val="center"/>
                </w:tcPr>
                <w:p w14:paraId="67930610">
                  <w:pPr>
                    <w:pStyle w:val="48"/>
                    <w:ind w:firstLine="0" w:firstLineChars="0"/>
                    <w:rPr>
                      <w:rFonts w:hint="default"/>
                      <w:color w:val="auto"/>
                      <w:highlight w:val="none"/>
                      <w:lang w:val="en-US" w:eastAsia="zh-CN"/>
                    </w:rPr>
                  </w:pPr>
                  <w:r>
                    <w:rPr>
                      <w:rFonts w:hint="eastAsia"/>
                      <w:color w:val="auto"/>
                      <w:highlight w:val="none"/>
                      <w:lang w:val="en-US" w:eastAsia="zh-CN"/>
                    </w:rPr>
                    <w:t>生产厂房</w:t>
                  </w:r>
                </w:p>
              </w:tc>
              <w:tc>
                <w:tcPr>
                  <w:tcW w:w="432" w:type="pct"/>
                  <w:vMerge w:val="restart"/>
                  <w:tcBorders>
                    <w:tl2br w:val="nil"/>
                    <w:tr2bl w:val="nil"/>
                  </w:tcBorders>
                  <w:shd w:val="clear" w:color="auto" w:fill="auto"/>
                  <w:vAlign w:val="center"/>
                </w:tcPr>
                <w:p w14:paraId="20D7DA18">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color w:val="auto"/>
                      <w:highlight w:val="none"/>
                      <w:lang w:val="en-US" w:eastAsia="zh-CN"/>
                    </w:rPr>
                  </w:pPr>
                  <w:r>
                    <w:rPr>
                      <w:rFonts w:hint="eastAsia" w:cs="Times New Roman"/>
                      <w:b w:val="0"/>
                      <w:bCs w:val="0"/>
                      <w:color w:val="auto"/>
                      <w:sz w:val="21"/>
                      <w:szCs w:val="21"/>
                      <w:highlight w:val="none"/>
                      <w:lang w:val="en-US" w:eastAsia="zh-CN"/>
                    </w:rPr>
                    <w:t>测试检验</w:t>
                  </w:r>
                </w:p>
              </w:tc>
              <w:tc>
                <w:tcPr>
                  <w:tcW w:w="525" w:type="pct"/>
                  <w:tcBorders>
                    <w:tl2br w:val="nil"/>
                    <w:tr2bl w:val="nil"/>
                  </w:tcBorders>
                  <w:shd w:val="clear" w:color="auto" w:fill="auto"/>
                  <w:vAlign w:val="center"/>
                </w:tcPr>
                <w:p w14:paraId="48E9FB1B">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非甲烷总烃</w:t>
                  </w:r>
                </w:p>
              </w:tc>
              <w:tc>
                <w:tcPr>
                  <w:tcW w:w="279" w:type="pct"/>
                  <w:vMerge w:val="restart"/>
                  <w:tcBorders>
                    <w:tl2br w:val="nil"/>
                    <w:tr2bl w:val="nil"/>
                  </w:tcBorders>
                  <w:shd w:val="clear" w:color="auto" w:fill="auto"/>
                  <w:vAlign w:val="center"/>
                </w:tcPr>
                <w:p w14:paraId="7432CCDF">
                  <w:pPr>
                    <w:pStyle w:val="48"/>
                    <w:bidi w:val="0"/>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500</w:t>
                  </w:r>
                </w:p>
              </w:tc>
              <w:tc>
                <w:tcPr>
                  <w:tcW w:w="1053" w:type="dxa"/>
                  <w:tcBorders>
                    <w:tl2br w:val="nil"/>
                    <w:tr2bl w:val="nil"/>
                  </w:tcBorders>
                  <w:vAlign w:val="center"/>
                </w:tcPr>
                <w:p w14:paraId="3F4C612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0.0052 </w:t>
                  </w:r>
                </w:p>
              </w:tc>
              <w:tc>
                <w:tcPr>
                  <w:tcW w:w="986" w:type="dxa"/>
                  <w:tcBorders>
                    <w:tl2br w:val="nil"/>
                    <w:tr2bl w:val="nil"/>
                  </w:tcBorders>
                  <w:shd w:val="clear" w:color="auto" w:fill="auto"/>
                  <w:vAlign w:val="center"/>
                </w:tcPr>
                <w:p w14:paraId="1FC58B1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0.0026 </w:t>
                  </w:r>
                </w:p>
              </w:tc>
              <w:tc>
                <w:tcPr>
                  <w:tcW w:w="535" w:type="pct"/>
                  <w:vMerge w:val="restart"/>
                  <w:tcBorders>
                    <w:tl2br w:val="nil"/>
                    <w:tr2bl w:val="nil"/>
                  </w:tcBorders>
                  <w:vAlign w:val="center"/>
                </w:tcPr>
                <w:p w14:paraId="4C13EA71">
                  <w:pPr>
                    <w:pStyle w:val="48"/>
                    <w:tabs>
                      <w:tab w:val="left" w:pos="0"/>
                    </w:tabs>
                    <w:bidi w:val="0"/>
                    <w:ind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331" w:type="pct"/>
                  <w:vMerge w:val="restart"/>
                  <w:tcBorders>
                    <w:tl2br w:val="nil"/>
                    <w:tr2bl w:val="nil"/>
                  </w:tcBorders>
                  <w:vAlign w:val="center"/>
                </w:tcPr>
                <w:p w14:paraId="4B3AD07A">
                  <w:pPr>
                    <w:pStyle w:val="48"/>
                    <w:tabs>
                      <w:tab w:val="left" w:pos="0"/>
                    </w:tabs>
                    <w:bidi w:val="0"/>
                    <w:ind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331" w:type="pct"/>
                  <w:vMerge w:val="restart"/>
                  <w:tcBorders>
                    <w:tl2br w:val="nil"/>
                    <w:tr2bl w:val="nil"/>
                  </w:tcBorders>
                  <w:vAlign w:val="center"/>
                </w:tcPr>
                <w:p w14:paraId="3255243F">
                  <w:pPr>
                    <w:pStyle w:val="48"/>
                    <w:tabs>
                      <w:tab w:val="left" w:pos="0"/>
                    </w:tabs>
                    <w:bidi w:val="0"/>
                    <w:ind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1053" w:type="dxa"/>
                  <w:tcBorders>
                    <w:tl2br w:val="nil"/>
                    <w:tr2bl w:val="nil"/>
                  </w:tcBorders>
                  <w:vAlign w:val="center"/>
                </w:tcPr>
                <w:p w14:paraId="50FCA19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 xml:space="preserve">0.0052 </w:t>
                  </w:r>
                </w:p>
              </w:tc>
              <w:tc>
                <w:tcPr>
                  <w:tcW w:w="1001" w:type="dxa"/>
                  <w:tcBorders>
                    <w:tl2br w:val="nil"/>
                    <w:tr2bl w:val="nil"/>
                  </w:tcBorders>
                  <w:shd w:val="clear" w:color="auto" w:fill="auto"/>
                  <w:vAlign w:val="center"/>
                </w:tcPr>
                <w:p w14:paraId="43E41DD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 xml:space="preserve">0.0026 </w:t>
                  </w:r>
                </w:p>
              </w:tc>
              <w:tc>
                <w:tcPr>
                  <w:tcW w:w="379" w:type="pct"/>
                  <w:vMerge w:val="restart"/>
                  <w:tcBorders>
                    <w:tl2br w:val="nil"/>
                    <w:tr2bl w:val="nil"/>
                  </w:tcBorders>
                  <w:vAlign w:val="center"/>
                </w:tcPr>
                <w:p w14:paraId="64A58AB4">
                  <w:pPr>
                    <w:pStyle w:val="48"/>
                    <w:bidi w:val="0"/>
                    <w:rPr>
                      <w:rFonts w:hint="default"/>
                      <w:color w:val="auto"/>
                      <w:highlight w:val="none"/>
                      <w:lang w:val="en-US" w:eastAsia="zh-CN"/>
                    </w:rPr>
                  </w:pPr>
                  <w:r>
                    <w:rPr>
                      <w:rFonts w:hint="eastAsia"/>
                      <w:color w:val="auto"/>
                      <w:highlight w:val="none"/>
                      <w:lang w:val="en-US" w:eastAsia="zh-CN"/>
                    </w:rPr>
                    <w:t>711.1</w:t>
                  </w:r>
                </w:p>
              </w:tc>
              <w:tc>
                <w:tcPr>
                  <w:tcW w:w="339" w:type="pct"/>
                  <w:vMerge w:val="restart"/>
                  <w:tcBorders>
                    <w:tl2br w:val="nil"/>
                    <w:tr2bl w:val="nil"/>
                  </w:tcBorders>
                  <w:vAlign w:val="center"/>
                </w:tcPr>
                <w:p w14:paraId="10B2DE2E">
                  <w:pPr>
                    <w:pStyle w:val="48"/>
                    <w:bidi w:val="0"/>
                    <w:rPr>
                      <w:rFonts w:hint="default"/>
                      <w:color w:val="auto"/>
                      <w:highlight w:val="none"/>
                      <w:lang w:val="en-US" w:eastAsia="zh-CN"/>
                    </w:rPr>
                  </w:pPr>
                  <w:r>
                    <w:rPr>
                      <w:rFonts w:hint="eastAsia"/>
                      <w:color w:val="auto"/>
                      <w:highlight w:val="none"/>
                      <w:lang w:val="en-US" w:eastAsia="zh-CN"/>
                    </w:rPr>
                    <w:t>3</w:t>
                  </w:r>
                </w:p>
              </w:tc>
            </w:tr>
            <w:tr w14:paraId="422E03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Merge w:val="continue"/>
                  <w:tcBorders>
                    <w:tl2br w:val="nil"/>
                    <w:tr2bl w:val="nil"/>
                  </w:tcBorders>
                  <w:vAlign w:val="center"/>
                </w:tcPr>
                <w:p w14:paraId="760CB3F6">
                  <w:pPr>
                    <w:pStyle w:val="48"/>
                    <w:ind w:firstLine="0" w:firstLineChars="0"/>
                    <w:rPr>
                      <w:rFonts w:hint="eastAsia"/>
                      <w:color w:val="auto"/>
                      <w:highlight w:val="none"/>
                      <w:lang w:val="en-US" w:eastAsia="zh-CN"/>
                    </w:rPr>
                  </w:pPr>
                </w:p>
              </w:tc>
              <w:tc>
                <w:tcPr>
                  <w:tcW w:w="432" w:type="pct"/>
                  <w:vMerge w:val="continue"/>
                  <w:tcBorders>
                    <w:tl2br w:val="nil"/>
                    <w:tr2bl w:val="nil"/>
                  </w:tcBorders>
                  <w:shd w:val="clear" w:color="auto" w:fill="auto"/>
                  <w:vAlign w:val="center"/>
                </w:tcPr>
                <w:p w14:paraId="15C5126B">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color w:val="auto"/>
                      <w:highlight w:val="none"/>
                      <w:lang w:val="en-US" w:eastAsia="zh-CN"/>
                    </w:rPr>
                  </w:pPr>
                </w:p>
              </w:tc>
              <w:tc>
                <w:tcPr>
                  <w:tcW w:w="525" w:type="pct"/>
                  <w:tcBorders>
                    <w:tl2br w:val="nil"/>
                    <w:tr2bl w:val="nil"/>
                  </w:tcBorders>
                  <w:shd w:val="clear" w:color="auto" w:fill="auto"/>
                  <w:vAlign w:val="center"/>
                </w:tcPr>
                <w:p w14:paraId="34A2573F">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color w:val="auto"/>
                      <w:highlight w:val="none"/>
                      <w:lang w:val="en-US" w:eastAsia="zh-CN"/>
                    </w:rPr>
                  </w:pPr>
                  <w:r>
                    <w:rPr>
                      <w:rFonts w:hint="eastAsia" w:cs="Times New Roman"/>
                      <w:b w:val="0"/>
                      <w:bCs w:val="0"/>
                      <w:color w:val="auto"/>
                      <w:sz w:val="21"/>
                      <w:szCs w:val="21"/>
                      <w:highlight w:val="none"/>
                      <w:lang w:val="en-US" w:eastAsia="zh-CN"/>
                    </w:rPr>
                    <w:t>颗粒物</w:t>
                  </w:r>
                </w:p>
              </w:tc>
              <w:tc>
                <w:tcPr>
                  <w:tcW w:w="279" w:type="pct"/>
                  <w:vMerge w:val="continue"/>
                  <w:tcBorders>
                    <w:tl2br w:val="nil"/>
                    <w:tr2bl w:val="nil"/>
                  </w:tcBorders>
                  <w:shd w:val="clear" w:color="auto" w:fill="auto"/>
                  <w:vAlign w:val="center"/>
                </w:tcPr>
                <w:p w14:paraId="32879C50">
                  <w:pPr>
                    <w:pStyle w:val="48"/>
                    <w:bidi w:val="0"/>
                    <w:ind w:firstLine="0" w:firstLineChars="0"/>
                    <w:jc w:val="center"/>
                    <w:rPr>
                      <w:rFonts w:hint="eastAsia" w:cs="Times New Roman"/>
                      <w:color w:val="auto"/>
                      <w:kern w:val="0"/>
                      <w:sz w:val="21"/>
                      <w:szCs w:val="24"/>
                      <w:highlight w:val="none"/>
                      <w:lang w:val="en-US" w:eastAsia="zh-CN" w:bidi="ar-SA"/>
                    </w:rPr>
                  </w:pPr>
                </w:p>
              </w:tc>
              <w:tc>
                <w:tcPr>
                  <w:tcW w:w="1053" w:type="dxa"/>
                  <w:tcBorders>
                    <w:tl2br w:val="nil"/>
                    <w:tr2bl w:val="nil"/>
                  </w:tcBorders>
                  <w:vAlign w:val="center"/>
                </w:tcPr>
                <w:p w14:paraId="1C1D6AF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0.0376 </w:t>
                  </w:r>
                </w:p>
              </w:tc>
              <w:tc>
                <w:tcPr>
                  <w:tcW w:w="986" w:type="dxa"/>
                  <w:tcBorders>
                    <w:tl2br w:val="nil"/>
                    <w:tr2bl w:val="nil"/>
                  </w:tcBorders>
                  <w:shd w:val="clear" w:color="auto" w:fill="auto"/>
                  <w:vAlign w:val="center"/>
                </w:tcPr>
                <w:p w14:paraId="1DB1E56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0.0188 </w:t>
                  </w:r>
                </w:p>
              </w:tc>
              <w:tc>
                <w:tcPr>
                  <w:tcW w:w="535" w:type="pct"/>
                  <w:vMerge w:val="continue"/>
                  <w:tcBorders>
                    <w:tl2br w:val="nil"/>
                    <w:tr2bl w:val="nil"/>
                  </w:tcBorders>
                  <w:vAlign w:val="center"/>
                </w:tcPr>
                <w:p w14:paraId="0C673686">
                  <w:pPr>
                    <w:pStyle w:val="48"/>
                    <w:tabs>
                      <w:tab w:val="left" w:pos="0"/>
                    </w:tabs>
                    <w:bidi w:val="0"/>
                    <w:ind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331" w:type="pct"/>
                  <w:vMerge w:val="continue"/>
                  <w:tcBorders>
                    <w:tl2br w:val="nil"/>
                    <w:tr2bl w:val="nil"/>
                  </w:tcBorders>
                  <w:vAlign w:val="center"/>
                </w:tcPr>
                <w:p w14:paraId="73BBC883">
                  <w:pPr>
                    <w:pStyle w:val="48"/>
                    <w:tabs>
                      <w:tab w:val="left" w:pos="0"/>
                    </w:tabs>
                    <w:bidi w:val="0"/>
                    <w:ind w:right="0" w:rightChars="0" w:firstLine="0" w:firstLineChars="0"/>
                    <w:jc w:val="center"/>
                    <w:rPr>
                      <w:rFonts w:hint="eastAsia" w:ascii="Times New Roman" w:hAnsi="Times New Roman" w:eastAsia="宋体" w:cs="Times New Roman"/>
                      <w:color w:val="auto"/>
                      <w:kern w:val="0"/>
                      <w:sz w:val="21"/>
                      <w:szCs w:val="24"/>
                      <w:highlight w:val="none"/>
                      <w:lang w:val="en-US" w:eastAsia="zh-CN" w:bidi="ar-SA"/>
                    </w:rPr>
                  </w:pPr>
                </w:p>
              </w:tc>
              <w:tc>
                <w:tcPr>
                  <w:tcW w:w="331" w:type="pct"/>
                  <w:vMerge w:val="continue"/>
                  <w:tcBorders>
                    <w:tl2br w:val="nil"/>
                    <w:tr2bl w:val="nil"/>
                  </w:tcBorders>
                  <w:vAlign w:val="center"/>
                </w:tcPr>
                <w:p w14:paraId="31911F8C">
                  <w:pPr>
                    <w:pStyle w:val="48"/>
                    <w:tabs>
                      <w:tab w:val="left" w:pos="0"/>
                    </w:tabs>
                    <w:bidi w:val="0"/>
                    <w:ind w:right="0" w:rightChars="0" w:firstLine="0" w:firstLineChars="0"/>
                    <w:jc w:val="center"/>
                    <w:rPr>
                      <w:rFonts w:hint="eastAsia" w:ascii="Times New Roman" w:hAnsi="Times New Roman" w:eastAsia="宋体" w:cs="Times New Roman"/>
                      <w:color w:val="auto"/>
                      <w:kern w:val="0"/>
                      <w:sz w:val="21"/>
                      <w:szCs w:val="24"/>
                      <w:highlight w:val="none"/>
                      <w:lang w:val="en-US" w:eastAsia="zh-CN" w:bidi="ar-SA"/>
                    </w:rPr>
                  </w:pPr>
                </w:p>
              </w:tc>
              <w:tc>
                <w:tcPr>
                  <w:tcW w:w="1053" w:type="dxa"/>
                  <w:tcBorders>
                    <w:tl2br w:val="nil"/>
                    <w:tr2bl w:val="nil"/>
                  </w:tcBorders>
                  <w:vAlign w:val="center"/>
                </w:tcPr>
                <w:p w14:paraId="136D23D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 xml:space="preserve">0.0376 </w:t>
                  </w:r>
                </w:p>
              </w:tc>
              <w:tc>
                <w:tcPr>
                  <w:tcW w:w="1001" w:type="dxa"/>
                  <w:tcBorders>
                    <w:tl2br w:val="nil"/>
                    <w:tr2bl w:val="nil"/>
                  </w:tcBorders>
                  <w:shd w:val="clear" w:color="auto" w:fill="auto"/>
                  <w:vAlign w:val="center"/>
                </w:tcPr>
                <w:p w14:paraId="1EAF3C9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 xml:space="preserve">0.0188 </w:t>
                  </w:r>
                </w:p>
              </w:tc>
              <w:tc>
                <w:tcPr>
                  <w:tcW w:w="379" w:type="pct"/>
                  <w:vMerge w:val="continue"/>
                  <w:tcBorders>
                    <w:tl2br w:val="nil"/>
                    <w:tr2bl w:val="nil"/>
                  </w:tcBorders>
                  <w:vAlign w:val="center"/>
                </w:tcPr>
                <w:p w14:paraId="24C43AD9">
                  <w:pPr>
                    <w:pStyle w:val="48"/>
                    <w:bidi w:val="0"/>
                    <w:rPr>
                      <w:rFonts w:hint="eastAsia"/>
                      <w:color w:val="auto"/>
                      <w:highlight w:val="none"/>
                      <w:lang w:val="en-US" w:eastAsia="zh-CN"/>
                    </w:rPr>
                  </w:pPr>
                </w:p>
              </w:tc>
              <w:tc>
                <w:tcPr>
                  <w:tcW w:w="339" w:type="pct"/>
                  <w:vMerge w:val="continue"/>
                  <w:tcBorders>
                    <w:tl2br w:val="nil"/>
                    <w:tr2bl w:val="nil"/>
                  </w:tcBorders>
                  <w:vAlign w:val="center"/>
                </w:tcPr>
                <w:p w14:paraId="285771D5">
                  <w:pPr>
                    <w:pStyle w:val="48"/>
                    <w:bidi w:val="0"/>
                    <w:rPr>
                      <w:rFonts w:hint="eastAsia"/>
                      <w:color w:val="auto"/>
                      <w:highlight w:val="none"/>
                      <w:lang w:val="en-US" w:eastAsia="zh-CN"/>
                    </w:rPr>
                  </w:pPr>
                </w:p>
              </w:tc>
            </w:tr>
            <w:tr w14:paraId="7B768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Merge w:val="continue"/>
                  <w:tcBorders>
                    <w:tl2br w:val="nil"/>
                    <w:tr2bl w:val="nil"/>
                  </w:tcBorders>
                  <w:vAlign w:val="center"/>
                </w:tcPr>
                <w:p w14:paraId="6AA8F7BA">
                  <w:pPr>
                    <w:pStyle w:val="48"/>
                    <w:ind w:firstLine="0" w:firstLineChars="0"/>
                    <w:rPr>
                      <w:rFonts w:hint="eastAsia"/>
                      <w:color w:val="auto"/>
                      <w:highlight w:val="none"/>
                      <w:lang w:val="en-US" w:eastAsia="zh-CN"/>
                    </w:rPr>
                  </w:pPr>
                </w:p>
              </w:tc>
              <w:tc>
                <w:tcPr>
                  <w:tcW w:w="432" w:type="pct"/>
                  <w:vMerge w:val="continue"/>
                  <w:tcBorders>
                    <w:tl2br w:val="nil"/>
                    <w:tr2bl w:val="nil"/>
                  </w:tcBorders>
                  <w:shd w:val="clear" w:color="auto" w:fill="auto"/>
                  <w:vAlign w:val="center"/>
                </w:tcPr>
                <w:p w14:paraId="65618A7D">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color w:val="auto"/>
                      <w:highlight w:val="none"/>
                      <w:lang w:val="en-US" w:eastAsia="zh-CN"/>
                    </w:rPr>
                  </w:pPr>
                </w:p>
              </w:tc>
              <w:tc>
                <w:tcPr>
                  <w:tcW w:w="525" w:type="pct"/>
                  <w:tcBorders>
                    <w:tl2br w:val="nil"/>
                    <w:tr2bl w:val="nil"/>
                  </w:tcBorders>
                  <w:shd w:val="clear" w:color="auto" w:fill="auto"/>
                  <w:vAlign w:val="center"/>
                </w:tcPr>
                <w:p w14:paraId="308588AB">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ascii="Times New Roman" w:hAnsi="Times New Roman" w:eastAsia="宋体" w:cs="Times New Roman"/>
                      <w:color w:val="auto"/>
                      <w:highlight w:val="none"/>
                      <w:lang w:val="en-US" w:eastAsia="zh-CN"/>
                    </w:rPr>
                  </w:pPr>
                  <w:r>
                    <w:rPr>
                      <w:rFonts w:hint="eastAsia" w:cs="Times New Roman"/>
                      <w:b w:val="0"/>
                      <w:bCs w:val="0"/>
                      <w:color w:val="auto"/>
                      <w:sz w:val="21"/>
                      <w:szCs w:val="21"/>
                      <w:highlight w:val="none"/>
                      <w:lang w:val="en-US" w:eastAsia="zh-CN"/>
                    </w:rPr>
                    <w:t>氟化物</w:t>
                  </w:r>
                </w:p>
              </w:tc>
              <w:tc>
                <w:tcPr>
                  <w:tcW w:w="279" w:type="pct"/>
                  <w:vMerge w:val="continue"/>
                  <w:tcBorders>
                    <w:tl2br w:val="nil"/>
                    <w:tr2bl w:val="nil"/>
                  </w:tcBorders>
                  <w:shd w:val="clear" w:color="auto" w:fill="auto"/>
                  <w:vAlign w:val="center"/>
                </w:tcPr>
                <w:p w14:paraId="6EA41626">
                  <w:pPr>
                    <w:pStyle w:val="48"/>
                    <w:bidi w:val="0"/>
                    <w:ind w:firstLine="0" w:firstLineChars="0"/>
                    <w:jc w:val="center"/>
                    <w:rPr>
                      <w:rFonts w:hint="eastAsia" w:cs="Times New Roman"/>
                      <w:color w:val="auto"/>
                      <w:kern w:val="0"/>
                      <w:sz w:val="21"/>
                      <w:szCs w:val="24"/>
                      <w:highlight w:val="none"/>
                      <w:lang w:val="en-US" w:eastAsia="zh-CN" w:bidi="ar-SA"/>
                    </w:rPr>
                  </w:pPr>
                </w:p>
              </w:tc>
              <w:tc>
                <w:tcPr>
                  <w:tcW w:w="1053" w:type="dxa"/>
                  <w:tcBorders>
                    <w:tl2br w:val="nil"/>
                    <w:tr2bl w:val="nil"/>
                  </w:tcBorders>
                  <w:vAlign w:val="center"/>
                </w:tcPr>
                <w:p w14:paraId="1D11235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0.0007 </w:t>
                  </w:r>
                </w:p>
              </w:tc>
              <w:tc>
                <w:tcPr>
                  <w:tcW w:w="986" w:type="dxa"/>
                  <w:tcBorders>
                    <w:tl2br w:val="nil"/>
                    <w:tr2bl w:val="nil"/>
                  </w:tcBorders>
                  <w:shd w:val="clear" w:color="auto" w:fill="auto"/>
                  <w:vAlign w:val="center"/>
                </w:tcPr>
                <w:p w14:paraId="34D9E2D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 xml:space="preserve">0.0004 </w:t>
                  </w:r>
                </w:p>
              </w:tc>
              <w:tc>
                <w:tcPr>
                  <w:tcW w:w="535" w:type="pct"/>
                  <w:vMerge w:val="continue"/>
                  <w:tcBorders>
                    <w:tl2br w:val="nil"/>
                    <w:tr2bl w:val="nil"/>
                  </w:tcBorders>
                  <w:vAlign w:val="center"/>
                </w:tcPr>
                <w:p w14:paraId="7C165D30">
                  <w:pPr>
                    <w:pStyle w:val="48"/>
                    <w:tabs>
                      <w:tab w:val="left" w:pos="0"/>
                    </w:tabs>
                    <w:bidi w:val="0"/>
                    <w:ind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331" w:type="pct"/>
                  <w:vMerge w:val="continue"/>
                  <w:tcBorders>
                    <w:tl2br w:val="nil"/>
                    <w:tr2bl w:val="nil"/>
                  </w:tcBorders>
                  <w:vAlign w:val="center"/>
                </w:tcPr>
                <w:p w14:paraId="0D3DB507">
                  <w:pPr>
                    <w:pStyle w:val="48"/>
                    <w:tabs>
                      <w:tab w:val="left" w:pos="0"/>
                    </w:tabs>
                    <w:bidi w:val="0"/>
                    <w:ind w:right="0" w:rightChars="0" w:firstLine="0" w:firstLineChars="0"/>
                    <w:jc w:val="center"/>
                    <w:rPr>
                      <w:rFonts w:hint="eastAsia" w:ascii="Times New Roman" w:hAnsi="Times New Roman" w:eastAsia="宋体" w:cs="Times New Roman"/>
                      <w:color w:val="auto"/>
                      <w:kern w:val="0"/>
                      <w:sz w:val="21"/>
                      <w:szCs w:val="24"/>
                      <w:highlight w:val="none"/>
                      <w:lang w:val="en-US" w:eastAsia="zh-CN" w:bidi="ar-SA"/>
                    </w:rPr>
                  </w:pPr>
                </w:p>
              </w:tc>
              <w:tc>
                <w:tcPr>
                  <w:tcW w:w="331" w:type="pct"/>
                  <w:vMerge w:val="continue"/>
                  <w:tcBorders>
                    <w:tl2br w:val="nil"/>
                    <w:tr2bl w:val="nil"/>
                  </w:tcBorders>
                  <w:vAlign w:val="center"/>
                </w:tcPr>
                <w:p w14:paraId="5C1643F9">
                  <w:pPr>
                    <w:pStyle w:val="48"/>
                    <w:tabs>
                      <w:tab w:val="left" w:pos="0"/>
                    </w:tabs>
                    <w:bidi w:val="0"/>
                    <w:ind w:right="0" w:rightChars="0" w:firstLine="0" w:firstLineChars="0"/>
                    <w:jc w:val="center"/>
                    <w:rPr>
                      <w:rFonts w:hint="eastAsia" w:ascii="Times New Roman" w:hAnsi="Times New Roman" w:eastAsia="宋体" w:cs="Times New Roman"/>
                      <w:color w:val="auto"/>
                      <w:kern w:val="0"/>
                      <w:sz w:val="21"/>
                      <w:szCs w:val="24"/>
                      <w:highlight w:val="none"/>
                      <w:lang w:val="en-US" w:eastAsia="zh-CN" w:bidi="ar-SA"/>
                    </w:rPr>
                  </w:pPr>
                </w:p>
              </w:tc>
              <w:tc>
                <w:tcPr>
                  <w:tcW w:w="1053" w:type="dxa"/>
                  <w:tcBorders>
                    <w:tl2br w:val="nil"/>
                    <w:tr2bl w:val="nil"/>
                  </w:tcBorders>
                  <w:vAlign w:val="center"/>
                </w:tcPr>
                <w:p w14:paraId="52D6183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 xml:space="preserve">0.0007 </w:t>
                  </w:r>
                </w:p>
              </w:tc>
              <w:tc>
                <w:tcPr>
                  <w:tcW w:w="1001" w:type="dxa"/>
                  <w:tcBorders>
                    <w:tl2br w:val="nil"/>
                    <w:tr2bl w:val="nil"/>
                  </w:tcBorders>
                  <w:shd w:val="clear" w:color="auto" w:fill="auto"/>
                  <w:vAlign w:val="center"/>
                </w:tcPr>
                <w:p w14:paraId="64C0E36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 xml:space="preserve">0.0004 </w:t>
                  </w:r>
                </w:p>
              </w:tc>
              <w:tc>
                <w:tcPr>
                  <w:tcW w:w="379" w:type="pct"/>
                  <w:vMerge w:val="continue"/>
                  <w:tcBorders>
                    <w:tl2br w:val="nil"/>
                    <w:tr2bl w:val="nil"/>
                  </w:tcBorders>
                  <w:vAlign w:val="center"/>
                </w:tcPr>
                <w:p w14:paraId="5A346962">
                  <w:pPr>
                    <w:pStyle w:val="48"/>
                    <w:bidi w:val="0"/>
                    <w:rPr>
                      <w:rFonts w:hint="eastAsia"/>
                      <w:color w:val="auto"/>
                      <w:highlight w:val="none"/>
                      <w:lang w:val="en-US" w:eastAsia="zh-CN"/>
                    </w:rPr>
                  </w:pPr>
                </w:p>
              </w:tc>
              <w:tc>
                <w:tcPr>
                  <w:tcW w:w="339" w:type="pct"/>
                  <w:vMerge w:val="continue"/>
                  <w:tcBorders>
                    <w:tl2br w:val="nil"/>
                    <w:tr2bl w:val="nil"/>
                  </w:tcBorders>
                  <w:vAlign w:val="center"/>
                </w:tcPr>
                <w:p w14:paraId="2239377B">
                  <w:pPr>
                    <w:pStyle w:val="48"/>
                    <w:bidi w:val="0"/>
                    <w:rPr>
                      <w:rFonts w:hint="eastAsia"/>
                      <w:color w:val="auto"/>
                      <w:highlight w:val="none"/>
                      <w:lang w:val="en-US" w:eastAsia="zh-CN"/>
                    </w:rPr>
                  </w:pPr>
                </w:p>
              </w:tc>
            </w:tr>
          </w:tbl>
          <w:p w14:paraId="413424F0">
            <w:pPr>
              <w:bidi w:val="0"/>
              <w:rPr>
                <w:rFonts w:hint="eastAsia"/>
                <w:color w:val="auto"/>
                <w:highlight w:val="none"/>
                <w:lang w:eastAsia="zh-CN"/>
              </w:rPr>
            </w:pPr>
          </w:p>
          <w:p w14:paraId="52F8D0AD">
            <w:pPr>
              <w:bidi w:val="0"/>
              <w:rPr>
                <w:rFonts w:hint="eastAsia"/>
                <w:color w:val="auto"/>
                <w:highlight w:val="none"/>
                <w:lang w:eastAsia="zh-CN"/>
              </w:rPr>
            </w:pPr>
          </w:p>
          <w:p w14:paraId="052D0A78">
            <w:pPr>
              <w:bidi w:val="0"/>
              <w:rPr>
                <w:rFonts w:hint="eastAsia"/>
                <w:color w:val="auto"/>
                <w:highlight w:val="none"/>
                <w:lang w:eastAsia="zh-CN"/>
              </w:rPr>
            </w:pPr>
          </w:p>
          <w:p w14:paraId="7334F455">
            <w:pPr>
              <w:bidi w:val="0"/>
              <w:rPr>
                <w:rFonts w:hint="eastAsia"/>
                <w:color w:val="auto"/>
                <w:highlight w:val="none"/>
                <w:lang w:eastAsia="zh-CN"/>
              </w:rPr>
            </w:pPr>
          </w:p>
          <w:p w14:paraId="5E901590">
            <w:pPr>
              <w:bidi w:val="0"/>
              <w:rPr>
                <w:rFonts w:hint="eastAsia"/>
                <w:color w:val="auto"/>
                <w:highlight w:val="none"/>
                <w:lang w:eastAsia="zh-CN"/>
              </w:rPr>
            </w:pPr>
          </w:p>
          <w:p w14:paraId="19735DEF">
            <w:pPr>
              <w:bidi w:val="0"/>
              <w:rPr>
                <w:rFonts w:hint="eastAsia"/>
                <w:color w:val="auto"/>
                <w:highlight w:val="none"/>
                <w:lang w:eastAsia="zh-CN"/>
              </w:rPr>
            </w:pPr>
          </w:p>
          <w:p w14:paraId="2D088C29">
            <w:pPr>
              <w:bidi w:val="0"/>
              <w:rPr>
                <w:rFonts w:hint="eastAsia"/>
                <w:color w:val="auto"/>
                <w:highlight w:val="none"/>
                <w:lang w:eastAsia="zh-CN"/>
              </w:rPr>
            </w:pPr>
          </w:p>
        </w:tc>
      </w:tr>
    </w:tbl>
    <w:p w14:paraId="76074EC5">
      <w:pPr>
        <w:bidi w:val="0"/>
        <w:rPr>
          <w:rStyle w:val="47"/>
          <w:rFonts w:hint="default" w:ascii="Times New Roman" w:hAnsi="Times New Roman" w:eastAsia="黑体"/>
          <w:color w:val="auto"/>
          <w:sz w:val="30"/>
          <w:szCs w:val="30"/>
          <w:highlight w:val="none"/>
        </w:rPr>
        <w:sectPr>
          <w:pgSz w:w="16840" w:h="11907" w:orient="landscape"/>
          <w:pgMar w:top="1531" w:right="1587" w:bottom="1531" w:left="1616" w:header="851" w:footer="850" w:gutter="0"/>
          <w:pgBorders>
            <w:top w:val="none" w:sz="0" w:space="0"/>
            <w:left w:val="none" w:sz="0" w:space="0"/>
            <w:bottom w:val="none" w:sz="0" w:space="0"/>
            <w:right w:val="none" w:sz="0" w:space="0"/>
          </w:pgBorders>
          <w:pgNumType w:fmt="decimal"/>
          <w:cols w:space="0" w:num="1"/>
          <w:rtlGutter w:val="0"/>
          <w:docGrid w:linePitch="312" w:charSpace="0"/>
        </w:sectPr>
      </w:pPr>
      <w:bookmarkStart w:id="131" w:name="pindex1525"/>
      <w:bookmarkEnd w:id="131"/>
    </w:p>
    <w:tbl>
      <w:tblPr>
        <w:tblStyle w:val="3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8551"/>
      </w:tblGrid>
      <w:tr w14:paraId="2596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trPr>
        <w:tc>
          <w:tcPr>
            <w:tcW w:w="510" w:type="dxa"/>
            <w:vAlign w:val="center"/>
          </w:tcPr>
          <w:p w14:paraId="5CDA3758">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1"/>
              <w:rPr>
                <w:rStyle w:val="47"/>
                <w:rFonts w:hint="eastAsia" w:ascii="宋体" w:hAnsi="宋体" w:eastAsia="宋体" w:cs="宋体"/>
                <w:color w:val="auto"/>
                <w:sz w:val="24"/>
                <w:szCs w:val="24"/>
                <w:highlight w:val="none"/>
                <w:vertAlign w:val="baseline"/>
              </w:rPr>
            </w:pPr>
            <w:r>
              <w:rPr>
                <w:rStyle w:val="47"/>
                <w:rFonts w:hint="eastAsia" w:ascii="宋体" w:hAnsi="宋体" w:eastAsia="宋体" w:cs="宋体"/>
                <w:color w:val="auto"/>
                <w:sz w:val="24"/>
                <w:szCs w:val="24"/>
                <w:highlight w:val="none"/>
                <w:vertAlign w:val="baseline"/>
              </w:rPr>
              <w:t>运营</w:t>
            </w:r>
          </w:p>
          <w:p w14:paraId="4FC4F08E">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1"/>
              <w:rPr>
                <w:rStyle w:val="47"/>
                <w:rFonts w:hint="eastAsia" w:ascii="宋体" w:hAnsi="宋体" w:eastAsia="宋体" w:cs="宋体"/>
                <w:color w:val="auto"/>
                <w:sz w:val="24"/>
                <w:szCs w:val="24"/>
                <w:highlight w:val="none"/>
                <w:vertAlign w:val="baseline"/>
              </w:rPr>
            </w:pPr>
            <w:r>
              <w:rPr>
                <w:rStyle w:val="47"/>
                <w:rFonts w:hint="eastAsia" w:ascii="宋体" w:hAnsi="宋体" w:eastAsia="宋体" w:cs="宋体"/>
                <w:color w:val="auto"/>
                <w:sz w:val="24"/>
                <w:szCs w:val="24"/>
                <w:highlight w:val="none"/>
                <w:vertAlign w:val="baseline"/>
              </w:rPr>
              <w:t>期环</w:t>
            </w:r>
          </w:p>
          <w:p w14:paraId="43E1A643">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1"/>
              <w:rPr>
                <w:rStyle w:val="47"/>
                <w:rFonts w:hint="eastAsia" w:ascii="宋体" w:hAnsi="宋体" w:eastAsia="宋体" w:cs="宋体"/>
                <w:color w:val="auto"/>
                <w:sz w:val="24"/>
                <w:szCs w:val="24"/>
                <w:highlight w:val="none"/>
                <w:vertAlign w:val="baseline"/>
              </w:rPr>
            </w:pPr>
            <w:r>
              <w:rPr>
                <w:rStyle w:val="47"/>
                <w:rFonts w:hint="eastAsia" w:ascii="宋体" w:hAnsi="宋体" w:eastAsia="宋体" w:cs="宋体"/>
                <w:color w:val="auto"/>
                <w:sz w:val="24"/>
                <w:szCs w:val="24"/>
                <w:highlight w:val="none"/>
                <w:vertAlign w:val="baseline"/>
              </w:rPr>
              <w:t>境影</w:t>
            </w:r>
          </w:p>
          <w:p w14:paraId="0B83BA5C">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1"/>
              <w:rPr>
                <w:rStyle w:val="47"/>
                <w:rFonts w:hint="eastAsia" w:ascii="宋体" w:hAnsi="宋体" w:eastAsia="宋体" w:cs="宋体"/>
                <w:color w:val="auto"/>
                <w:sz w:val="24"/>
                <w:szCs w:val="24"/>
                <w:highlight w:val="none"/>
                <w:vertAlign w:val="baseline"/>
              </w:rPr>
            </w:pPr>
            <w:r>
              <w:rPr>
                <w:rStyle w:val="47"/>
                <w:rFonts w:hint="eastAsia" w:ascii="宋体" w:hAnsi="宋体" w:eastAsia="宋体" w:cs="宋体"/>
                <w:color w:val="auto"/>
                <w:sz w:val="24"/>
                <w:szCs w:val="24"/>
                <w:highlight w:val="none"/>
                <w:vertAlign w:val="baseline"/>
              </w:rPr>
              <w:t>响和</w:t>
            </w:r>
          </w:p>
          <w:p w14:paraId="1BED3CD4">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1"/>
              <w:rPr>
                <w:rStyle w:val="47"/>
                <w:rFonts w:hint="eastAsia" w:ascii="宋体" w:hAnsi="宋体" w:eastAsia="宋体" w:cs="宋体"/>
                <w:color w:val="auto"/>
                <w:sz w:val="24"/>
                <w:szCs w:val="24"/>
                <w:highlight w:val="none"/>
                <w:vertAlign w:val="baseline"/>
              </w:rPr>
            </w:pPr>
            <w:r>
              <w:rPr>
                <w:rStyle w:val="47"/>
                <w:rFonts w:hint="eastAsia" w:ascii="宋体" w:hAnsi="宋体" w:eastAsia="宋体" w:cs="宋体"/>
                <w:color w:val="auto"/>
                <w:sz w:val="24"/>
                <w:szCs w:val="24"/>
                <w:highlight w:val="none"/>
                <w:vertAlign w:val="baseline"/>
              </w:rPr>
              <w:t>保护</w:t>
            </w:r>
          </w:p>
          <w:p w14:paraId="3692A441">
            <w:pPr>
              <w:pStyle w:val="2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outlineLvl w:val="1"/>
              <w:rPr>
                <w:rStyle w:val="47"/>
                <w:rFonts w:hint="default" w:ascii="Times New Roman" w:hAnsi="Times New Roman" w:eastAsia="黑体"/>
                <w:color w:val="auto"/>
                <w:sz w:val="30"/>
                <w:szCs w:val="30"/>
                <w:highlight w:val="none"/>
                <w:vertAlign w:val="baseline"/>
              </w:rPr>
            </w:pPr>
            <w:r>
              <w:rPr>
                <w:rStyle w:val="47"/>
                <w:rFonts w:hint="eastAsia" w:ascii="宋体" w:hAnsi="宋体" w:eastAsia="宋体" w:cs="宋体"/>
                <w:color w:val="auto"/>
                <w:sz w:val="24"/>
                <w:szCs w:val="24"/>
                <w:highlight w:val="none"/>
                <w:vertAlign w:val="baseline"/>
              </w:rPr>
              <w:t>措施</w:t>
            </w:r>
          </w:p>
        </w:tc>
        <w:tc>
          <w:tcPr>
            <w:tcW w:w="8551" w:type="dxa"/>
          </w:tcPr>
          <w:p w14:paraId="66FD0D83">
            <w:pPr>
              <w:bidi w:val="0"/>
              <w:rPr>
                <w:b/>
                <w:bCs/>
                <w:color w:val="auto"/>
                <w:highlight w:val="none"/>
              </w:rPr>
            </w:pPr>
            <w:r>
              <w:rPr>
                <w:rFonts w:hint="eastAsia"/>
                <w:b/>
                <w:bCs/>
                <w:color w:val="auto"/>
                <w:highlight w:val="none"/>
              </w:rPr>
              <w:t>（</w:t>
            </w:r>
            <w:r>
              <w:rPr>
                <w:rFonts w:hint="eastAsia"/>
                <w:b/>
                <w:bCs/>
                <w:color w:val="auto"/>
                <w:highlight w:val="none"/>
                <w:lang w:val="en-US" w:eastAsia="zh-CN"/>
              </w:rPr>
              <w:t>2</w:t>
            </w:r>
            <w:r>
              <w:rPr>
                <w:rFonts w:hint="eastAsia"/>
                <w:b/>
                <w:bCs/>
                <w:color w:val="auto"/>
                <w:highlight w:val="none"/>
              </w:rPr>
              <w:t>）废气污染防治措施可行性分析</w:t>
            </w:r>
          </w:p>
          <w:p w14:paraId="287C0D7C">
            <w:pPr>
              <w:ind w:firstLine="482"/>
              <w:rPr>
                <w:b/>
                <w:bCs/>
                <w:color w:val="auto"/>
                <w:highlight w:val="none"/>
              </w:rPr>
            </w:pPr>
            <w:r>
              <w:rPr>
                <w:rFonts w:hint="eastAsia"/>
                <w:b/>
                <w:bCs/>
                <w:color w:val="auto"/>
                <w:highlight w:val="none"/>
              </w:rPr>
              <w:t>1）大气环境保护措施</w:t>
            </w:r>
          </w:p>
          <w:p w14:paraId="7B5920D3">
            <w:pPr>
              <w:bidi w:val="0"/>
              <w:rPr>
                <w:rFonts w:hint="default"/>
                <w:color w:val="auto"/>
                <w:highlight w:val="none"/>
                <w:lang w:val="en-US" w:eastAsia="zh-CN"/>
              </w:rPr>
            </w:pPr>
            <w:r>
              <w:rPr>
                <w:color w:val="auto"/>
              </w:rPr>
              <w:t>本项目</w:t>
            </w:r>
            <w:r>
              <w:rPr>
                <w:rFonts w:hint="eastAsia"/>
                <w:color w:val="auto"/>
                <w:lang w:val="en-US" w:eastAsia="zh-CN"/>
              </w:rPr>
              <w:t>电池燃烧废气经设备自带管道收集后无组织排放，危废贮存废气无组织排放</w:t>
            </w:r>
            <w:r>
              <w:rPr>
                <w:rFonts w:hint="eastAsia"/>
                <w:color w:val="auto"/>
                <w:highlight w:val="none"/>
                <w:lang w:val="en-US" w:eastAsia="zh-CN"/>
              </w:rPr>
              <w:t>。</w:t>
            </w:r>
          </w:p>
          <w:p w14:paraId="03AEE3F9">
            <w:pPr>
              <w:pStyle w:val="12"/>
              <w:ind w:left="0" w:leftChars="0" w:firstLine="0" w:firstLineChars="0"/>
              <w:jc w:val="center"/>
              <w:rPr>
                <w:rFonts w:hint="eastAsia" w:eastAsia="宋体"/>
                <w:color w:val="auto"/>
                <w:highlight w:val="none"/>
                <w:lang w:eastAsia="zh-CN"/>
              </w:rPr>
            </w:pPr>
            <w:r>
              <w:rPr>
                <w:rFonts w:hint="eastAsia" w:eastAsia="宋体"/>
                <w:color w:val="auto"/>
                <w:highlight w:val="none"/>
                <w:lang w:eastAsia="zh-CN"/>
              </w:rPr>
              <w:object>
                <v:shape id="_x0000_i1027" o:spt="75" type="#_x0000_t75" style="height:66pt;width:246.75pt;" o:ole="t" filled="f" o:preferrelative="t" stroked="f" coordsize="21600,21600">
                  <v:path/>
                  <v:fill on="f" focussize="0,0"/>
                  <v:stroke on="f"/>
                  <v:imagedata r:id="rId24" o:title=""/>
                  <o:lock v:ext="edit" aspectratio="f"/>
                  <w10:wrap type="none"/>
                  <w10:anchorlock/>
                </v:shape>
                <o:OLEObject Type="Embed" ProgID="Visio.Drawing.15" ShapeID="_x0000_i1027" DrawAspect="Content" ObjectID="_1468075727" r:id="rId23">
                  <o:LockedField>false</o:LockedField>
                </o:OLEObject>
              </w:object>
            </w:r>
          </w:p>
          <w:p w14:paraId="3F40CAF1">
            <w:pPr>
              <w:pStyle w:val="55"/>
              <w:bidi w:val="0"/>
              <w:rPr>
                <w:rFonts w:hint="default"/>
                <w:color w:val="auto"/>
                <w:highlight w:val="none"/>
                <w:lang w:val="en-US" w:eastAsia="zh-CN"/>
              </w:rPr>
            </w:pPr>
            <w:r>
              <w:rPr>
                <w:rFonts w:hint="eastAsia"/>
                <w:color w:val="auto"/>
                <w:highlight w:val="none"/>
                <w:lang w:val="en-US" w:eastAsia="zh-CN"/>
              </w:rPr>
              <w:t>图4-1 本项目废气处理流程图</w:t>
            </w:r>
          </w:p>
          <w:p w14:paraId="455614A1">
            <w:pPr>
              <w:pStyle w:val="78"/>
              <w:adjustRightInd w:val="0"/>
              <w:snapToGrid w:val="0"/>
              <w:spacing w:line="440" w:lineRule="exact"/>
              <w:ind w:firstLine="482"/>
              <w:rPr>
                <w:b/>
                <w:bCs/>
                <w:color w:val="auto"/>
                <w:sz w:val="24"/>
                <w:highlight w:val="none"/>
              </w:rPr>
            </w:pPr>
            <w:r>
              <w:rPr>
                <w:rFonts w:hint="eastAsia"/>
                <w:b/>
                <w:bCs/>
                <w:color w:val="auto"/>
                <w:highlight w:val="none"/>
                <w:lang w:val="en-US" w:eastAsia="zh-CN"/>
              </w:rPr>
              <w:t>2）</w:t>
            </w:r>
            <w:r>
              <w:rPr>
                <w:b/>
                <w:bCs/>
                <w:color w:val="auto"/>
                <w:sz w:val="24"/>
                <w:highlight w:val="none"/>
              </w:rPr>
              <w:t>无组织排放的可</w:t>
            </w:r>
            <w:r>
              <w:rPr>
                <w:rFonts w:hint="eastAsia"/>
                <w:b/>
                <w:bCs/>
                <w:color w:val="auto"/>
                <w:sz w:val="24"/>
                <w:highlight w:val="none"/>
                <w:lang w:eastAsia="zh-CN"/>
              </w:rPr>
              <w:t>行性</w:t>
            </w:r>
            <w:r>
              <w:rPr>
                <w:b/>
                <w:bCs/>
                <w:color w:val="auto"/>
                <w:sz w:val="24"/>
                <w:highlight w:val="none"/>
              </w:rPr>
              <w:t>分析</w:t>
            </w:r>
          </w:p>
          <w:p w14:paraId="126245D3">
            <w:pPr>
              <w:bidi w:val="0"/>
              <w:rPr>
                <w:color w:val="auto"/>
                <w:sz w:val="24"/>
                <w:highlight w:val="none"/>
              </w:rPr>
            </w:pPr>
            <w:r>
              <w:rPr>
                <w:color w:val="auto"/>
                <w:sz w:val="24"/>
              </w:rPr>
              <w:t>本项目无组织排放的废气污染物主要为</w:t>
            </w:r>
            <w:r>
              <w:rPr>
                <w:rFonts w:hint="eastAsia"/>
                <w:color w:val="auto"/>
                <w:sz w:val="24"/>
                <w:lang w:val="en-US" w:eastAsia="zh-CN"/>
              </w:rPr>
              <w:t>电池燃烧废气、危废贮存废气</w:t>
            </w:r>
            <w:r>
              <w:rPr>
                <w:rFonts w:hint="eastAsia"/>
                <w:color w:val="auto"/>
                <w:highlight w:val="none"/>
                <w:lang w:val="en-US" w:eastAsia="zh-CN"/>
              </w:rPr>
              <w:t>。</w:t>
            </w:r>
          </w:p>
          <w:p w14:paraId="5F1D6141">
            <w:pPr>
              <w:pStyle w:val="78"/>
              <w:adjustRightInd w:val="0"/>
              <w:snapToGrid w:val="0"/>
              <w:spacing w:line="440" w:lineRule="exact"/>
              <w:ind w:firstLine="480"/>
              <w:rPr>
                <w:color w:val="auto"/>
                <w:sz w:val="24"/>
                <w:highlight w:val="none"/>
              </w:rPr>
            </w:pPr>
            <w:r>
              <w:rPr>
                <w:color w:val="auto"/>
                <w:sz w:val="24"/>
                <w:highlight w:val="none"/>
              </w:rPr>
              <w:t>针对上述无组织废气，拟采取的控制措施如下：</w:t>
            </w:r>
          </w:p>
          <w:p w14:paraId="0BD56785">
            <w:pPr>
              <w:adjustRightInd w:val="0"/>
              <w:snapToGrid w:val="0"/>
              <w:spacing w:line="440" w:lineRule="exact"/>
              <w:ind w:firstLine="480" w:firstLineChars="200"/>
              <w:rPr>
                <w:color w:val="auto"/>
                <w:sz w:val="24"/>
                <w:highlight w:val="none"/>
              </w:rPr>
            </w:pPr>
            <w:r>
              <w:rPr>
                <w:rFonts w:hint="eastAsia" w:ascii="宋体" w:hAnsi="宋体" w:cs="宋体"/>
                <w:color w:val="auto"/>
                <w:sz w:val="24"/>
                <w:highlight w:val="none"/>
                <w:lang w:val="en-US" w:eastAsia="zh-CN"/>
              </w:rPr>
              <w:t>①</w:t>
            </w:r>
            <w:r>
              <w:rPr>
                <w:rFonts w:hint="eastAsia"/>
                <w:color w:val="auto"/>
                <w:sz w:val="24"/>
                <w:highlight w:val="none"/>
                <w:lang w:val="en-US" w:eastAsia="zh-CN"/>
              </w:rPr>
              <w:t>测试检验</w:t>
            </w:r>
            <w:r>
              <w:rPr>
                <w:color w:val="auto"/>
                <w:sz w:val="24"/>
                <w:highlight w:val="none"/>
              </w:rPr>
              <w:t>操作应尽可能减少敞开式操作；</w:t>
            </w:r>
          </w:p>
          <w:p w14:paraId="14F11E2E">
            <w:pPr>
              <w:adjustRightInd w:val="0"/>
              <w:snapToGrid w:val="0"/>
              <w:spacing w:line="440" w:lineRule="exact"/>
              <w:ind w:firstLine="480" w:firstLineChars="200"/>
              <w:rPr>
                <w:color w:val="auto"/>
                <w:sz w:val="24"/>
                <w:highlight w:val="none"/>
              </w:rPr>
            </w:pPr>
            <w:r>
              <w:rPr>
                <w:rFonts w:hint="eastAsia" w:ascii="宋体" w:hAnsi="宋体" w:cs="宋体"/>
                <w:color w:val="auto"/>
                <w:sz w:val="24"/>
                <w:highlight w:val="none"/>
                <w:lang w:val="en-US" w:eastAsia="zh-CN"/>
              </w:rPr>
              <w:t>②</w:t>
            </w:r>
            <w:r>
              <w:rPr>
                <w:color w:val="auto"/>
                <w:sz w:val="24"/>
                <w:highlight w:val="none"/>
              </w:rPr>
              <w:t>加强操作工的培训和管理，减少人为</w:t>
            </w:r>
            <w:sdt>
              <w:sdtPr>
                <w:rPr>
                  <w:color w:val="auto"/>
                </w:rPr>
                <w:alias w:val="语法错误"/>
                <w:tag w:val="reviewtag_0000FF"/>
                <w:id w:val="31156"/>
              </w:sdtPr>
              <w:sdtEndPr>
                <w:rPr>
                  <w:color w:val="auto"/>
                </w:rPr>
              </w:sdtEndPr>
              <w:sdtContent>
                <w:bookmarkStart w:id="132" w:name="bkReivew31156"/>
                <w:r>
                  <w:rPr>
                    <w:color w:val="auto"/>
                    <w:sz w:val="24"/>
                    <w:highlight w:val="none"/>
                  </w:rPr>
                  <w:t>的</w:t>
                </w:r>
                <w:bookmarkEnd w:id="132"/>
              </w:sdtContent>
            </w:sdt>
            <w:r>
              <w:rPr>
                <w:color w:val="auto"/>
                <w:sz w:val="24"/>
                <w:highlight w:val="none"/>
              </w:rPr>
              <w:t>无组织挥发量的增加；</w:t>
            </w:r>
          </w:p>
          <w:p w14:paraId="011F7B6B">
            <w:pPr>
              <w:adjustRightInd w:val="0"/>
              <w:snapToGrid w:val="0"/>
              <w:spacing w:line="440" w:lineRule="exact"/>
              <w:ind w:firstLine="480" w:firstLineChars="200"/>
              <w:rPr>
                <w:color w:val="auto"/>
                <w:sz w:val="24"/>
                <w:highlight w:val="none"/>
              </w:rPr>
            </w:pPr>
            <w:r>
              <w:rPr>
                <w:rFonts w:hint="eastAsia" w:ascii="宋体" w:hAnsi="宋体" w:cs="宋体"/>
                <w:color w:val="auto"/>
                <w:sz w:val="24"/>
                <w:highlight w:val="none"/>
                <w:lang w:val="en-US" w:eastAsia="zh-CN"/>
              </w:rPr>
              <w:t>③</w:t>
            </w:r>
            <w:r>
              <w:rPr>
                <w:color w:val="auto"/>
                <w:sz w:val="24"/>
                <w:highlight w:val="none"/>
              </w:rPr>
              <w:t>加强废物</w:t>
            </w:r>
            <w:r>
              <w:rPr>
                <w:rFonts w:hint="eastAsia"/>
                <w:color w:val="auto"/>
                <w:sz w:val="24"/>
                <w:highlight w:val="none"/>
                <w:lang w:val="en-US" w:eastAsia="zh-CN"/>
              </w:rPr>
              <w:t>的密闭贮存及</w:t>
            </w:r>
            <w:r>
              <w:rPr>
                <w:color w:val="auto"/>
                <w:sz w:val="24"/>
                <w:highlight w:val="none"/>
              </w:rPr>
              <w:t>转移管理。</w:t>
            </w:r>
          </w:p>
          <w:p w14:paraId="21E73FE7">
            <w:pPr>
              <w:adjustRightInd w:val="0"/>
              <w:snapToGrid w:val="0"/>
              <w:spacing w:line="440" w:lineRule="exact"/>
              <w:ind w:firstLine="480" w:firstLineChars="200"/>
              <w:rPr>
                <w:rFonts w:hint="default"/>
                <w:color w:val="auto"/>
                <w:sz w:val="24"/>
                <w:highlight w:val="none"/>
                <w:lang w:val="en-US" w:eastAsia="zh-CN"/>
              </w:rPr>
            </w:pPr>
            <w:r>
              <w:rPr>
                <w:color w:val="auto"/>
                <w:sz w:val="24"/>
                <w:highlight w:val="none"/>
              </w:rPr>
              <w:t>综上，在落实</w:t>
            </w:r>
            <w:r>
              <w:rPr>
                <w:rFonts w:hint="eastAsia"/>
                <w:color w:val="auto"/>
                <w:sz w:val="24"/>
                <w:highlight w:val="none"/>
                <w:lang w:eastAsia="zh-CN"/>
              </w:rPr>
              <w:t>上述</w:t>
            </w:r>
            <w:r>
              <w:rPr>
                <w:color w:val="auto"/>
                <w:sz w:val="24"/>
                <w:highlight w:val="none"/>
              </w:rPr>
              <w:t>措施后，本项目无组织废气排放对环境影响较小。</w:t>
            </w:r>
            <w:bookmarkStart w:id="133" w:name="sys154330107"/>
            <w:r>
              <w:rPr>
                <w:rFonts w:hint="eastAsia"/>
                <w:color w:val="auto"/>
                <w:sz w:val="24"/>
                <w:highlight w:val="none"/>
                <w:lang w:val="en-US" w:eastAsia="zh-CN"/>
              </w:rPr>
              <w:t>厂界污染物</w:t>
            </w:r>
            <w:r>
              <w:rPr>
                <w:rFonts w:hint="eastAsia" w:cs="Times New Roman"/>
                <w:b w:val="0"/>
                <w:color w:val="auto"/>
                <w:kern w:val="2"/>
                <w:sz w:val="24"/>
                <w:szCs w:val="24"/>
                <w:highlight w:val="none"/>
                <w:lang w:val="en-US" w:eastAsia="zh-CN" w:bidi="ar-SA"/>
              </w:rPr>
              <w:t>非甲烷总烃、颗粒物、</w:t>
            </w:r>
            <w:r>
              <w:rPr>
                <w:rFonts w:hint="eastAsia" w:cs="Times New Roman"/>
                <w:b w:val="0"/>
                <w:bCs/>
                <w:color w:val="auto"/>
                <w:highlight w:val="none"/>
                <w:lang w:val="en-US" w:eastAsia="zh-CN"/>
              </w:rPr>
              <w:t>氟化物</w:t>
            </w:r>
            <w:r>
              <w:rPr>
                <w:rFonts w:hint="eastAsia" w:cs="Times New Roman"/>
                <w:b w:val="0"/>
                <w:color w:val="auto"/>
                <w:kern w:val="2"/>
                <w:sz w:val="24"/>
                <w:szCs w:val="24"/>
                <w:highlight w:val="none"/>
                <w:lang w:val="en-US" w:eastAsia="zh-CN" w:bidi="ar-SA"/>
              </w:rPr>
              <w:t>排放</w:t>
            </w:r>
            <w:r>
              <w:rPr>
                <w:rFonts w:hint="default" w:ascii="Times New Roman" w:hAnsi="Times New Roman" w:eastAsia="宋体" w:cs="Times New Roman"/>
                <w:b w:val="0"/>
                <w:color w:val="auto"/>
                <w:kern w:val="2"/>
                <w:sz w:val="24"/>
                <w:szCs w:val="24"/>
                <w:highlight w:val="none"/>
                <w:lang w:val="en-US" w:eastAsia="zh-CN" w:bidi="ar-SA"/>
              </w:rPr>
              <w:t>执行《大气污染物综合排放标准》（DB32/4041-2021）表</w:t>
            </w:r>
            <w:r>
              <w:rPr>
                <w:rFonts w:hint="eastAsia" w:cs="Times New Roman"/>
                <w:b w:val="0"/>
                <w:color w:val="auto"/>
                <w:kern w:val="2"/>
                <w:sz w:val="24"/>
                <w:szCs w:val="24"/>
                <w:highlight w:val="none"/>
                <w:lang w:val="en-US" w:eastAsia="zh-CN" w:bidi="ar-SA"/>
              </w:rPr>
              <w:t>3</w:t>
            </w:r>
            <w:r>
              <w:rPr>
                <w:rFonts w:hint="default" w:ascii="Times New Roman" w:hAnsi="Times New Roman" w:eastAsia="宋体" w:cs="Times New Roman"/>
                <w:b w:val="0"/>
                <w:color w:val="auto"/>
                <w:kern w:val="2"/>
                <w:sz w:val="24"/>
                <w:szCs w:val="24"/>
                <w:highlight w:val="none"/>
                <w:lang w:val="en-US" w:eastAsia="zh-CN" w:bidi="ar-SA"/>
              </w:rPr>
              <w:t>限值</w:t>
            </w:r>
            <w:r>
              <w:rPr>
                <w:rFonts w:hint="eastAsia"/>
                <w:b w:val="0"/>
                <w:bCs/>
                <w:color w:val="auto"/>
                <w:highlight w:val="none"/>
                <w:lang w:val="en-US" w:eastAsia="zh-CN"/>
              </w:rPr>
              <w:t>；</w:t>
            </w:r>
            <w:r>
              <w:rPr>
                <w:rFonts w:hint="default" w:ascii="Times New Roman" w:hAnsi="Times New Roman" w:eastAsia="宋体" w:cs="Times New Roman"/>
                <w:b w:val="0"/>
                <w:color w:val="auto"/>
                <w:kern w:val="2"/>
                <w:sz w:val="24"/>
                <w:szCs w:val="24"/>
                <w:highlight w:val="none"/>
                <w:lang w:val="en-US" w:eastAsia="zh-CN" w:bidi="ar-SA"/>
              </w:rPr>
              <w:t>厂区内非甲烷总烃无组织排放限值执行《大气污染物综合排放标准》（DB32/4041-2021）表2</w:t>
            </w:r>
            <w:sdt>
              <w:sdtPr>
                <w:rPr>
                  <w:color w:val="auto"/>
                  <w:highlight w:val="none"/>
                </w:rPr>
                <w:alias w:val="语法错误"/>
                <w:tag w:val="reviewtag_0000FF"/>
                <w:id w:val="2103116"/>
              </w:sdtPr>
              <w:sdtEndPr>
                <w:rPr>
                  <w:color w:val="auto"/>
                  <w:highlight w:val="none"/>
                </w:rPr>
              </w:sdtEndPr>
              <w:sdtContent>
                <w:bookmarkStart w:id="134" w:name="bkReivew2103116"/>
                <w:r>
                  <w:rPr>
                    <w:rFonts w:hint="default" w:ascii="Times New Roman" w:hAnsi="Times New Roman" w:eastAsia="宋体" w:cs="Times New Roman"/>
                    <w:b w:val="0"/>
                    <w:color w:val="auto"/>
                    <w:kern w:val="2"/>
                    <w:sz w:val="24"/>
                    <w:szCs w:val="24"/>
                    <w:highlight w:val="none"/>
                    <w:lang w:val="en-US" w:eastAsia="zh-CN" w:bidi="ar-SA"/>
                  </w:rPr>
                  <w:t>限值</w:t>
                </w:r>
                <w:bookmarkEnd w:id="134"/>
              </w:sdtContent>
            </w:sdt>
            <w:r>
              <w:rPr>
                <w:color w:val="auto"/>
                <w:sz w:val="24"/>
                <w:highlight w:val="none"/>
              </w:rPr>
              <w:t>。</w:t>
            </w:r>
            <w:bookmarkEnd w:id="133"/>
            <w:r>
              <w:rPr>
                <w:color w:val="auto"/>
                <w:sz w:val="24"/>
                <w:highlight w:val="none"/>
              </w:rPr>
              <w:t>因此本项目无组织废气治理措施可行。</w:t>
            </w:r>
          </w:p>
          <w:p w14:paraId="32CABDB6">
            <w:pPr>
              <w:bidi w:val="0"/>
              <w:rPr>
                <w:b/>
                <w:bCs/>
                <w:color w:val="auto"/>
                <w:highlight w:val="none"/>
              </w:rPr>
            </w:pP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b/>
                <w:bCs/>
                <w:color w:val="auto"/>
                <w:highlight w:val="none"/>
              </w:rPr>
              <w:t>监测计划</w:t>
            </w:r>
          </w:p>
          <w:p w14:paraId="18805B7E">
            <w:pPr>
              <w:bidi w:val="0"/>
              <w:rPr>
                <w:rFonts w:hint="eastAsia"/>
                <w:color w:val="auto"/>
                <w:highlight w:val="none"/>
                <w:lang w:val="en-US" w:eastAsia="zh-CN"/>
              </w:rPr>
            </w:pPr>
            <w:r>
              <w:rPr>
                <w:rFonts w:hint="eastAsia"/>
                <w:color w:val="auto"/>
                <w:highlight w:val="none"/>
                <w:lang w:val="en-US" w:eastAsia="zh-CN"/>
              </w:rPr>
              <w:t>企业行业类别为C3969其他智能消费设备制造</w:t>
            </w:r>
            <w:r>
              <w:rPr>
                <w:rFonts w:hint="eastAsia"/>
                <w:color w:val="auto"/>
                <w:highlight w:val="none"/>
                <w:lang w:eastAsia="zh-CN"/>
              </w:rPr>
              <w:t>，</w:t>
            </w:r>
            <w:r>
              <w:rPr>
                <w:color w:val="auto"/>
                <w:highlight w:val="none"/>
              </w:rPr>
              <w:t>根据</w:t>
            </w:r>
            <w:r>
              <w:rPr>
                <w:rFonts w:hint="eastAsia" w:cs="宋体"/>
                <w:color w:val="auto"/>
                <w:sz w:val="24"/>
                <w:highlight w:val="none"/>
                <w:lang w:bidi="ar"/>
              </w:rPr>
              <w:t>《排污单位自行监测技术指南 总则》（HJ 819-2017）</w:t>
            </w:r>
            <w:r>
              <w:rPr>
                <w:rFonts w:hint="eastAsia"/>
                <w:color w:val="auto"/>
                <w:highlight w:val="none"/>
                <w:lang w:eastAsia="zh-CN"/>
              </w:rPr>
              <w:t>，</w:t>
            </w:r>
            <w:r>
              <w:rPr>
                <w:rFonts w:hint="eastAsia"/>
                <w:color w:val="auto"/>
                <w:highlight w:val="none"/>
                <w:lang w:val="en-US" w:eastAsia="zh-CN"/>
              </w:rPr>
              <w:t>企业</w:t>
            </w:r>
            <w:r>
              <w:rPr>
                <w:rFonts w:hint="default"/>
                <w:color w:val="auto"/>
                <w:highlight w:val="none"/>
              </w:rPr>
              <w:t>废气监测计划</w:t>
            </w:r>
            <w:r>
              <w:rPr>
                <w:rFonts w:hint="eastAsia"/>
                <w:color w:val="auto"/>
                <w:highlight w:val="none"/>
                <w:lang w:val="en-US" w:eastAsia="zh-CN"/>
              </w:rPr>
              <w:t>如下：</w:t>
            </w:r>
          </w:p>
          <w:p w14:paraId="21C46239">
            <w:pPr>
              <w:pStyle w:val="52"/>
              <w:bidi w:val="0"/>
              <w:ind w:left="5518" w:leftChars="0" w:hanging="5518" w:firstLineChars="0"/>
              <w:rPr>
                <w:rFonts w:hint="default"/>
                <w:color w:val="auto"/>
              </w:rPr>
            </w:pPr>
            <w:r>
              <w:rPr>
                <w:rFonts w:hint="eastAsia"/>
                <w:color w:val="auto"/>
                <w:lang w:val="en-US" w:eastAsia="zh-CN"/>
              </w:rPr>
              <w:t>本项目</w:t>
            </w:r>
            <w:r>
              <w:rPr>
                <w:rFonts w:hint="default"/>
                <w:color w:val="auto"/>
              </w:rPr>
              <w:t>废气监测计划表</w:t>
            </w:r>
          </w:p>
          <w:tbl>
            <w:tblPr>
              <w:tblStyle w:val="3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40"/>
              <w:gridCol w:w="947"/>
              <w:gridCol w:w="1328"/>
              <w:gridCol w:w="4291"/>
              <w:gridCol w:w="1326"/>
            </w:tblGrid>
            <w:tr w14:paraId="7D427D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5" w:hRule="atLeast"/>
                <w:tblHeader/>
                <w:jc w:val="center"/>
              </w:trPr>
              <w:tc>
                <w:tcPr>
                  <w:tcW w:w="832" w:type="pct"/>
                  <w:gridSpan w:val="2"/>
                  <w:vAlign w:val="center"/>
                </w:tcPr>
                <w:p w14:paraId="40751F59">
                  <w:pPr>
                    <w:pStyle w:val="48"/>
                    <w:rPr>
                      <w:b/>
                      <w:bCs/>
                      <w:color w:val="auto"/>
                      <w:highlight w:val="none"/>
                    </w:rPr>
                  </w:pPr>
                  <w:r>
                    <w:rPr>
                      <w:b/>
                      <w:bCs/>
                      <w:color w:val="auto"/>
                      <w:highlight w:val="none"/>
                    </w:rPr>
                    <w:t>类型</w:t>
                  </w:r>
                </w:p>
              </w:tc>
              <w:tc>
                <w:tcPr>
                  <w:tcW w:w="796" w:type="pct"/>
                  <w:vAlign w:val="center"/>
                </w:tcPr>
                <w:p w14:paraId="28CD6AD7">
                  <w:pPr>
                    <w:pStyle w:val="48"/>
                    <w:rPr>
                      <w:b/>
                      <w:bCs/>
                      <w:color w:val="auto"/>
                      <w:highlight w:val="none"/>
                    </w:rPr>
                  </w:pPr>
                  <w:r>
                    <w:rPr>
                      <w:b/>
                      <w:bCs/>
                      <w:color w:val="auto"/>
                      <w:highlight w:val="none"/>
                    </w:rPr>
                    <w:t>监测位置</w:t>
                  </w:r>
                </w:p>
              </w:tc>
              <w:tc>
                <w:tcPr>
                  <w:tcW w:w="2575" w:type="pct"/>
                  <w:vAlign w:val="center"/>
                </w:tcPr>
                <w:p w14:paraId="363C20F9">
                  <w:pPr>
                    <w:pStyle w:val="48"/>
                    <w:rPr>
                      <w:b/>
                      <w:bCs/>
                      <w:color w:val="auto"/>
                      <w:highlight w:val="none"/>
                    </w:rPr>
                  </w:pPr>
                  <w:r>
                    <w:rPr>
                      <w:b/>
                      <w:bCs/>
                      <w:color w:val="auto"/>
                      <w:highlight w:val="none"/>
                    </w:rPr>
                    <w:t>监测项目</w:t>
                  </w:r>
                </w:p>
              </w:tc>
              <w:tc>
                <w:tcPr>
                  <w:tcW w:w="795" w:type="pct"/>
                  <w:vAlign w:val="center"/>
                </w:tcPr>
                <w:p w14:paraId="64C87B26">
                  <w:pPr>
                    <w:pStyle w:val="48"/>
                    <w:rPr>
                      <w:b/>
                      <w:bCs/>
                      <w:color w:val="auto"/>
                      <w:highlight w:val="none"/>
                    </w:rPr>
                  </w:pPr>
                  <w:r>
                    <w:rPr>
                      <w:b/>
                      <w:bCs/>
                      <w:color w:val="auto"/>
                      <w:highlight w:val="none"/>
                    </w:rPr>
                    <w:t>频次</w:t>
                  </w:r>
                </w:p>
              </w:tc>
            </w:tr>
            <w:tr w14:paraId="1395DB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58" w:hRule="atLeast"/>
                <w:jc w:val="center"/>
              </w:trPr>
              <w:tc>
                <w:tcPr>
                  <w:tcW w:w="264" w:type="pct"/>
                  <w:vMerge w:val="restart"/>
                  <w:vAlign w:val="center"/>
                </w:tcPr>
                <w:p w14:paraId="414660C2">
                  <w:pPr>
                    <w:pStyle w:val="48"/>
                    <w:rPr>
                      <w:rFonts w:hint="eastAsia" w:eastAsia="宋体"/>
                      <w:color w:val="auto"/>
                      <w:highlight w:val="none"/>
                      <w:lang w:val="en-US" w:eastAsia="zh-CN"/>
                    </w:rPr>
                  </w:pPr>
                  <w:r>
                    <w:rPr>
                      <w:rFonts w:hint="eastAsia"/>
                      <w:color w:val="auto"/>
                      <w:highlight w:val="none"/>
                      <w:lang w:val="en-US" w:eastAsia="zh-CN"/>
                    </w:rPr>
                    <w:t>废气</w:t>
                  </w:r>
                </w:p>
              </w:tc>
              <w:tc>
                <w:tcPr>
                  <w:tcW w:w="568" w:type="pct"/>
                  <w:vMerge w:val="restart"/>
                  <w:shd w:val="clear" w:color="auto" w:fill="auto"/>
                  <w:vAlign w:val="center"/>
                </w:tcPr>
                <w:p w14:paraId="7AAFC3C7">
                  <w:pPr>
                    <w:pStyle w:val="48"/>
                    <w:ind w:firstLine="0" w:firstLineChars="0"/>
                    <w:rPr>
                      <w:rFonts w:hint="default" w:eastAsia="宋体"/>
                      <w:color w:val="auto"/>
                      <w:highlight w:val="none"/>
                      <w:lang w:val="en-US" w:eastAsia="zh-CN"/>
                    </w:rPr>
                  </w:pPr>
                  <w:r>
                    <w:rPr>
                      <w:rFonts w:hint="eastAsia"/>
                      <w:color w:val="auto"/>
                      <w:highlight w:val="none"/>
                      <w:lang w:val="en-US" w:eastAsia="zh-CN"/>
                    </w:rPr>
                    <w:t>无组织</w:t>
                  </w:r>
                </w:p>
              </w:tc>
              <w:tc>
                <w:tcPr>
                  <w:tcW w:w="796" w:type="pct"/>
                  <w:shd w:val="clear" w:color="auto" w:fill="auto"/>
                  <w:vAlign w:val="center"/>
                </w:tcPr>
                <w:p w14:paraId="4DB63041">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szCs w:val="21"/>
                      <w:highlight w:val="none"/>
                    </w:rPr>
                    <w:t>厂界</w:t>
                  </w:r>
                </w:p>
              </w:tc>
              <w:tc>
                <w:tcPr>
                  <w:tcW w:w="2575" w:type="pct"/>
                  <w:shd w:val="clear" w:color="auto" w:fill="auto"/>
                  <w:vAlign w:val="center"/>
                </w:tcPr>
                <w:p w14:paraId="4347DBDF">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color w:val="auto"/>
                      <w:highlight w:val="none"/>
                      <w:lang w:val="en-US" w:eastAsia="zh-CN"/>
                    </w:rPr>
                    <w:t>颗粒物</w:t>
                  </w:r>
                  <w:r>
                    <w:rPr>
                      <w:rFonts w:hint="eastAsia"/>
                      <w:color w:val="auto"/>
                      <w:highlight w:val="none"/>
                      <w:lang w:val="en-US" w:eastAsia="zh-CN"/>
                    </w:rPr>
                    <w:t>、</w:t>
                  </w:r>
                  <w:r>
                    <w:rPr>
                      <w:rFonts w:hint="default"/>
                      <w:color w:val="auto"/>
                      <w:highlight w:val="none"/>
                      <w:lang w:val="en-US" w:eastAsia="zh-CN"/>
                    </w:rPr>
                    <w:t>非甲烷总烃</w:t>
                  </w:r>
                  <w:r>
                    <w:rPr>
                      <w:rFonts w:hint="eastAsia"/>
                      <w:color w:val="auto"/>
                      <w:highlight w:val="none"/>
                      <w:lang w:val="en-US" w:eastAsia="zh-CN"/>
                    </w:rPr>
                    <w:t>、</w:t>
                  </w:r>
                  <w:r>
                    <w:rPr>
                      <w:rFonts w:hint="default"/>
                      <w:color w:val="auto"/>
                      <w:highlight w:val="none"/>
                      <w:lang w:val="en-US" w:eastAsia="zh-CN"/>
                    </w:rPr>
                    <w:t>氟化物</w:t>
                  </w:r>
                </w:p>
              </w:tc>
              <w:tc>
                <w:tcPr>
                  <w:tcW w:w="795" w:type="pct"/>
                  <w:shd w:val="clear" w:color="auto" w:fill="auto"/>
                  <w:vAlign w:val="center"/>
                </w:tcPr>
                <w:p w14:paraId="2374BEC3">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1次/年</w:t>
                  </w:r>
                </w:p>
              </w:tc>
            </w:tr>
            <w:tr w14:paraId="39EFEB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76" w:hRule="atLeast"/>
                <w:jc w:val="center"/>
              </w:trPr>
              <w:tc>
                <w:tcPr>
                  <w:tcW w:w="264" w:type="pct"/>
                  <w:vMerge w:val="continue"/>
                  <w:vAlign w:val="center"/>
                </w:tcPr>
                <w:p w14:paraId="50CD8EDE">
                  <w:pPr>
                    <w:pStyle w:val="48"/>
                    <w:rPr>
                      <w:rFonts w:hint="eastAsia"/>
                      <w:color w:val="auto"/>
                      <w:highlight w:val="none"/>
                      <w:lang w:val="en-US" w:eastAsia="zh-CN"/>
                    </w:rPr>
                  </w:pPr>
                </w:p>
              </w:tc>
              <w:tc>
                <w:tcPr>
                  <w:tcW w:w="568" w:type="pct"/>
                  <w:vMerge w:val="continue"/>
                  <w:vAlign w:val="center"/>
                </w:tcPr>
                <w:p w14:paraId="05E88041">
                  <w:pPr>
                    <w:pStyle w:val="48"/>
                    <w:rPr>
                      <w:rFonts w:hint="eastAsia"/>
                      <w:color w:val="auto"/>
                      <w:highlight w:val="none"/>
                      <w:lang w:val="en-US" w:eastAsia="zh-CN"/>
                    </w:rPr>
                  </w:pPr>
                </w:p>
              </w:tc>
              <w:tc>
                <w:tcPr>
                  <w:tcW w:w="796" w:type="pct"/>
                  <w:shd w:val="clear" w:color="auto" w:fill="auto"/>
                  <w:vAlign w:val="center"/>
                </w:tcPr>
                <w:p w14:paraId="6F10CE4E">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厂区内</w:t>
                  </w:r>
                </w:p>
              </w:tc>
              <w:tc>
                <w:tcPr>
                  <w:tcW w:w="2575" w:type="pct"/>
                  <w:shd w:val="clear" w:color="auto" w:fill="auto"/>
                  <w:vAlign w:val="center"/>
                </w:tcPr>
                <w:p w14:paraId="246A5FB9">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rPr>
                    <w:t>非甲烷总烃</w:t>
                  </w:r>
                </w:p>
              </w:tc>
              <w:tc>
                <w:tcPr>
                  <w:tcW w:w="795" w:type="pct"/>
                  <w:shd w:val="clear" w:color="auto" w:fill="auto"/>
                  <w:vAlign w:val="center"/>
                </w:tcPr>
                <w:p w14:paraId="584F7AC5">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1次/年</w:t>
                  </w:r>
                </w:p>
              </w:tc>
            </w:tr>
          </w:tbl>
          <w:p w14:paraId="1605CEB8">
            <w:pPr>
              <w:pStyle w:val="7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482"/>
              <w:textAlignment w:val="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w:t>
            </w:r>
            <w:r>
              <w:rPr>
                <w:rFonts w:hint="eastAsia"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）大气环境影响分析结论</w:t>
            </w:r>
          </w:p>
          <w:p w14:paraId="6A37DAEB">
            <w:pPr>
              <w:ind w:firstLine="480"/>
              <w:rPr>
                <w:rFonts w:hint="eastAsia"/>
                <w:color w:val="auto"/>
                <w:highlight w:val="none"/>
              </w:rPr>
            </w:pPr>
            <w:bookmarkStart w:id="135" w:name="sys1562058"/>
            <w:r>
              <w:rPr>
                <w:rFonts w:hint="eastAsia" w:eastAsia="宋体"/>
                <w:color w:val="auto"/>
                <w:sz w:val="24"/>
                <w:highlight w:val="none"/>
                <w:lang w:val="zh-CN"/>
              </w:rPr>
              <w:t>根据</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202</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lang w:eastAsia="zh-CN"/>
              </w:rPr>
              <w:t>年南京市生态环境状况公报</w:t>
            </w:r>
            <w:r>
              <w:rPr>
                <w:rFonts w:hint="default" w:ascii="Times New Roman" w:hAnsi="Times New Roman" w:eastAsia="宋体" w:cs="Times New Roman"/>
                <w:bCs/>
                <w:color w:val="auto"/>
                <w:sz w:val="24"/>
                <w:highlight w:val="none"/>
              </w:rPr>
              <w:t>》</w:t>
            </w:r>
            <w:r>
              <w:rPr>
                <w:rFonts w:hint="eastAsia" w:eastAsia="宋体"/>
                <w:color w:val="auto"/>
                <w:sz w:val="24"/>
                <w:highlight w:val="none"/>
                <w:lang w:val="zh-CN"/>
              </w:rPr>
              <w:t>统计结果，项目所在地六项污染物</w:t>
            </w:r>
            <w:r>
              <w:rPr>
                <w:rFonts w:hint="eastAsia"/>
                <w:color w:val="auto"/>
                <w:sz w:val="24"/>
                <w:highlight w:val="none"/>
                <w:lang w:val="zh-CN"/>
              </w:rPr>
              <w:t>均</w:t>
            </w:r>
            <w:r>
              <w:rPr>
                <w:rFonts w:hint="eastAsia" w:eastAsia="宋体"/>
                <w:color w:val="auto"/>
                <w:sz w:val="24"/>
                <w:highlight w:val="none"/>
                <w:lang w:val="zh-CN"/>
              </w:rPr>
              <w:t>达标，项目所在区域为城市环境空气质量达标区</w:t>
            </w:r>
            <w:r>
              <w:rPr>
                <w:rFonts w:hint="eastAsia"/>
                <w:color w:val="auto"/>
                <w:highlight w:val="none"/>
              </w:rPr>
              <w:t>。</w:t>
            </w:r>
            <w:bookmarkEnd w:id="135"/>
            <w:bookmarkStart w:id="136" w:name="sys15625890"/>
            <w:r>
              <w:rPr>
                <w:rFonts w:hint="eastAsia"/>
                <w:color w:val="auto"/>
                <w:highlight w:val="none"/>
                <w:lang w:val="en-US" w:eastAsia="zh-CN"/>
              </w:rPr>
              <w:t>根据引用的现状监测数据结果，TSP日均值</w:t>
            </w:r>
            <w:r>
              <w:rPr>
                <w:rFonts w:hint="eastAsia" w:ascii="Times New Roman" w:hAnsi="Times New Roman" w:eastAsia="宋体" w:cs="Times New Roman"/>
                <w:color w:val="auto"/>
                <w:spacing w:val="-1"/>
                <w:sz w:val="24"/>
                <w:szCs w:val="24"/>
                <w:highlight w:val="none"/>
                <w:lang w:val="en-US" w:eastAsia="zh-CN"/>
              </w:rPr>
              <w:t>浓度符合</w:t>
            </w:r>
            <w:r>
              <w:rPr>
                <w:rFonts w:hint="eastAsia"/>
                <w:color w:val="auto"/>
                <w:highlight w:val="none"/>
                <w:lang w:val="en-US" w:eastAsia="zh-CN"/>
              </w:rPr>
              <w:t>《环境空气质量标准》（GB3095-2012）二级标准，也满足</w:t>
            </w:r>
            <w:r>
              <w:rPr>
                <w:rFonts w:hint="default" w:ascii="Times New Roman" w:hAnsi="Times New Roman" w:eastAsia="宋体" w:cs="Times New Roman"/>
                <w:color w:val="auto"/>
                <w:spacing w:val="-1"/>
                <w:sz w:val="24"/>
                <w:szCs w:val="24"/>
                <w:highlight w:val="none"/>
              </w:rPr>
              <w:t>《环境空气质量标准》（</w:t>
            </w:r>
            <w:r>
              <w:rPr>
                <w:rFonts w:hint="eastAsia" w:cs="Times New Roman"/>
                <w:color w:val="auto"/>
                <w:spacing w:val="-1"/>
                <w:sz w:val="24"/>
                <w:szCs w:val="24"/>
                <w:highlight w:val="none"/>
                <w:lang w:eastAsia="zh-CN"/>
              </w:rPr>
              <w:t>GB 3095-2026</w:t>
            </w:r>
            <w:r>
              <w:rPr>
                <w:rFonts w:hint="default" w:ascii="Times New Roman" w:hAnsi="Times New Roman" w:eastAsia="宋体" w:cs="Times New Roman"/>
                <w:color w:val="auto"/>
                <w:spacing w:val="-1"/>
                <w:sz w:val="24"/>
                <w:szCs w:val="24"/>
                <w:highlight w:val="none"/>
              </w:rPr>
              <w:t>）二级标准</w:t>
            </w:r>
            <w:r>
              <w:rPr>
                <w:rFonts w:hint="eastAsia" w:cs="Times New Roman"/>
                <w:color w:val="auto"/>
                <w:spacing w:val="-1"/>
                <w:sz w:val="24"/>
                <w:szCs w:val="24"/>
                <w:highlight w:val="none"/>
                <w:lang w:val="en-US" w:eastAsia="zh-CN"/>
              </w:rPr>
              <w:t>中的限值要求。</w:t>
            </w:r>
            <w:bookmarkEnd w:id="136"/>
          </w:p>
          <w:p w14:paraId="6C0BAB0D">
            <w:pPr>
              <w:keepNext w:val="0"/>
              <w:keepLines w:val="0"/>
              <w:pageBreakBefore w:val="0"/>
              <w:kinsoku/>
              <w:wordWrap/>
              <w:overflowPunct/>
              <w:topLinePunct w:val="0"/>
              <w:autoSpaceDE/>
              <w:autoSpaceDN/>
              <w:bidi w:val="0"/>
              <w:adjustRightInd/>
              <w:ind w:left="0" w:firstLine="480" w:firstLineChars="200"/>
              <w:textAlignment w:val="auto"/>
              <w:rPr>
                <w:rFonts w:hint="eastAsia"/>
                <w:b/>
                <w:bCs/>
                <w:color w:val="auto"/>
                <w:highlight w:val="none"/>
                <w:lang w:eastAsia="zh-CN"/>
              </w:rPr>
            </w:pPr>
            <w:r>
              <w:rPr>
                <w:rFonts w:hint="default" w:ascii="Times New Roman" w:hAnsi="Times New Roman" w:cs="Times New Roman"/>
                <w:color w:val="auto"/>
                <w:sz w:val="24"/>
                <w:highlight w:val="none"/>
                <w:shd w:val="clear"/>
                <w:lang w:val="en-US" w:eastAsia="zh-CN"/>
              </w:rPr>
              <w:t>综上，在落实本项目提出的污染防治措施的前提下，</w:t>
            </w:r>
            <w:r>
              <w:rPr>
                <w:rFonts w:hint="default" w:ascii="Times New Roman" w:hAnsi="Times New Roman" w:cs="Times New Roman"/>
                <w:color w:val="auto"/>
                <w:sz w:val="24"/>
                <w:highlight w:val="none"/>
                <w:shd w:val="clear"/>
              </w:rPr>
              <w:t>建议</w:t>
            </w:r>
            <w:r>
              <w:rPr>
                <w:rFonts w:hint="eastAsia" w:ascii="Times New Roman" w:hAnsi="Times New Roman" w:cs="Times New Roman"/>
                <w:color w:val="auto"/>
                <w:sz w:val="24"/>
                <w:highlight w:val="none"/>
                <w:shd w:val="clear"/>
                <w:lang w:val="en-US" w:eastAsia="zh-CN"/>
              </w:rPr>
              <w:t>企</w:t>
            </w:r>
            <w:r>
              <w:rPr>
                <w:rFonts w:hint="eastAsia" w:cs="Times New Roman"/>
                <w:color w:val="auto"/>
                <w:sz w:val="24"/>
                <w:highlight w:val="none"/>
                <w:shd w:val="clear"/>
                <w:lang w:val="en-US" w:eastAsia="zh-CN"/>
              </w:rPr>
              <w:t>业在</w:t>
            </w:r>
            <w:r>
              <w:rPr>
                <w:rFonts w:hint="default" w:ascii="Times New Roman" w:hAnsi="Times New Roman" w:cs="Times New Roman"/>
                <w:color w:val="auto"/>
                <w:sz w:val="24"/>
                <w:highlight w:val="none"/>
                <w:shd w:val="clear"/>
              </w:rPr>
              <w:t>日常运营过程中加强管理，以减轻项目对周围大气环境的影响，</w:t>
            </w:r>
            <w:sdt>
              <w:sdtPr>
                <w:rPr>
                  <w:color w:val="auto"/>
                </w:rPr>
                <w:alias w:val="语法错误"/>
                <w:tag w:val="reviewtag_0000FF"/>
                <w:id w:val="1073614"/>
              </w:sdtPr>
              <w:sdtEndPr>
                <w:rPr>
                  <w:color w:val="auto"/>
                </w:rPr>
              </w:sdtEndPr>
              <w:sdtContent>
                <w:bookmarkStart w:id="137" w:name="bkReivew1073614"/>
                <w:r>
                  <w:rPr>
                    <w:rFonts w:hint="default" w:ascii="Times New Roman" w:hAnsi="Times New Roman" w:cs="Times New Roman"/>
                    <w:color w:val="auto"/>
                    <w:sz w:val="24"/>
                    <w:highlight w:val="none"/>
                    <w:shd w:val="clear"/>
                  </w:rPr>
                  <w:t>对</w:t>
                </w:r>
                <w:bookmarkEnd w:id="137"/>
              </w:sdtContent>
            </w:sdt>
            <w:r>
              <w:rPr>
                <w:rFonts w:hint="default" w:ascii="Times New Roman" w:hAnsi="Times New Roman" w:cs="Times New Roman"/>
                <w:color w:val="auto"/>
                <w:sz w:val="24"/>
                <w:highlight w:val="none"/>
                <w:shd w:val="clear"/>
              </w:rPr>
              <w:t>周围大气环境影响较小。</w:t>
            </w:r>
          </w:p>
          <w:p w14:paraId="0ECB57A9">
            <w:pPr>
              <w:bidi w:val="0"/>
              <w:rPr>
                <w:b/>
                <w:bCs/>
                <w:color w:val="auto"/>
                <w:highlight w:val="none"/>
              </w:rPr>
            </w:pPr>
            <w:r>
              <w:rPr>
                <w:rFonts w:hint="eastAsia"/>
                <w:b/>
                <w:bCs/>
                <w:color w:val="auto"/>
                <w:highlight w:val="none"/>
                <w:lang w:eastAsia="zh-CN"/>
              </w:rPr>
              <w:t>2.</w:t>
            </w:r>
            <w:r>
              <w:rPr>
                <w:b/>
                <w:bCs/>
                <w:color w:val="auto"/>
                <w:highlight w:val="none"/>
              </w:rPr>
              <w:t>废水</w:t>
            </w:r>
          </w:p>
          <w:p w14:paraId="63A5BAD5">
            <w:pPr>
              <w:bidi w:val="0"/>
              <w:rPr>
                <w:rFonts w:hint="default"/>
                <w:color w:val="auto"/>
                <w:highlight w:val="none"/>
                <w:lang w:val="en-US"/>
              </w:rPr>
            </w:pPr>
            <w:bookmarkStart w:id="138" w:name="sys1565045"/>
            <w:r>
              <w:rPr>
                <w:rFonts w:hint="eastAsia"/>
                <w:color w:val="auto"/>
                <w:highlight w:val="none"/>
              </w:rPr>
              <w:t>本项目</w:t>
            </w:r>
            <w:r>
              <w:rPr>
                <w:rFonts w:hint="eastAsia" w:ascii="宋体" w:hAnsi="宋体" w:eastAsia="宋体" w:cs="宋体"/>
                <w:color w:val="auto"/>
                <w:sz w:val="24"/>
                <w:highlight w:val="none"/>
              </w:rPr>
              <w:t>生活污水经</w:t>
            </w:r>
            <w:r>
              <w:rPr>
                <w:rFonts w:hint="eastAsia" w:ascii="宋体" w:hAnsi="宋体" w:cs="宋体"/>
                <w:color w:val="auto"/>
                <w:sz w:val="24"/>
                <w:highlight w:val="none"/>
                <w:lang w:val="en-US" w:eastAsia="zh-CN"/>
              </w:rPr>
              <w:t>园区</w:t>
            </w:r>
            <w:r>
              <w:rPr>
                <w:rFonts w:hint="eastAsia" w:ascii="宋体" w:hAnsi="宋体" w:eastAsia="宋体" w:cs="宋体"/>
                <w:color w:val="auto"/>
                <w:sz w:val="24"/>
                <w:highlight w:val="none"/>
              </w:rPr>
              <w:t>化粪池处理后进入市政污水管网接管至空港污水处理厂</w:t>
            </w:r>
            <w:r>
              <w:rPr>
                <w:rFonts w:hint="eastAsia"/>
                <w:color w:val="auto"/>
                <w:highlight w:val="none"/>
                <w:lang w:val="en-US" w:eastAsia="zh-CN"/>
              </w:rPr>
              <w:t>，尾水</w:t>
            </w:r>
            <w:r>
              <w:rPr>
                <w:rFonts w:hint="eastAsia"/>
                <w:color w:val="auto"/>
                <w:highlight w:val="none"/>
              </w:rPr>
              <w:t>排放至</w:t>
            </w:r>
            <w:r>
              <w:rPr>
                <w:rFonts w:hint="eastAsia"/>
                <w:color w:val="auto"/>
                <w:highlight w:val="none"/>
                <w:lang w:val="en-US" w:eastAsia="zh-CN"/>
              </w:rPr>
              <w:t>云台山河</w:t>
            </w:r>
            <w:r>
              <w:rPr>
                <w:rFonts w:hint="eastAsia"/>
                <w:color w:val="auto"/>
                <w:highlight w:val="none"/>
              </w:rPr>
              <w:t>。</w:t>
            </w:r>
            <w:bookmarkEnd w:id="138"/>
          </w:p>
          <w:p w14:paraId="3A51E809">
            <w:pPr>
              <w:bidi w:val="0"/>
              <w:rPr>
                <w:b/>
                <w:bCs/>
                <w:color w:val="auto"/>
                <w:highlight w:val="none"/>
              </w:rPr>
            </w:pPr>
            <w:r>
              <w:rPr>
                <w:b/>
                <w:bCs/>
                <w:color w:val="auto"/>
                <w:highlight w:val="none"/>
              </w:rPr>
              <w:t>（1）源强分析</w:t>
            </w:r>
          </w:p>
          <w:p w14:paraId="4687A23C">
            <w:pPr>
              <w:keepNext w:val="0"/>
              <w:keepLines w:val="0"/>
              <w:pageBreakBefore w:val="0"/>
              <w:kinsoku/>
              <w:wordWrap/>
              <w:overflowPunct/>
              <w:topLinePunct w:val="0"/>
              <w:autoSpaceDE/>
              <w:autoSpaceDN/>
              <w:bidi w:val="0"/>
              <w:adjustRightInd/>
              <w:spacing w:line="440" w:lineRule="exact"/>
              <w:ind w:right="0"/>
              <w:textAlignment w:val="auto"/>
              <w:rPr>
                <w:rFonts w:hint="eastAsia" w:eastAsia="宋体"/>
                <w:b w:val="0"/>
                <w:bCs w:val="0"/>
                <w:color w:val="auto"/>
                <w:highlight w:val="none"/>
                <w:lang w:val="en-US" w:eastAsia="zh-CN"/>
              </w:rPr>
            </w:pPr>
            <w:r>
              <w:rPr>
                <w:rFonts w:hint="eastAsia"/>
                <w:b w:val="0"/>
                <w:bCs w:val="0"/>
                <w:color w:val="auto"/>
                <w:highlight w:val="none"/>
              </w:rPr>
              <w:t>1）生活</w:t>
            </w:r>
            <w:r>
              <w:rPr>
                <w:rFonts w:hint="eastAsia"/>
                <w:b w:val="0"/>
                <w:bCs w:val="0"/>
                <w:color w:val="auto"/>
                <w:highlight w:val="none"/>
                <w:lang w:val="en-US" w:eastAsia="zh-CN"/>
              </w:rPr>
              <w:t>污水</w:t>
            </w:r>
          </w:p>
          <w:p w14:paraId="1724B176">
            <w:pPr>
              <w:keepNext w:val="0"/>
              <w:keepLines w:val="0"/>
              <w:pageBreakBefore w:val="0"/>
              <w:kinsoku/>
              <w:wordWrap/>
              <w:overflowPunct/>
              <w:topLinePunct w:val="0"/>
              <w:autoSpaceDE/>
              <w:autoSpaceDN/>
              <w:bidi w:val="0"/>
              <w:adjustRightInd/>
              <w:spacing w:line="440" w:lineRule="exact"/>
              <w:ind w:right="0" w:firstLine="480"/>
              <w:textAlignment w:val="auto"/>
              <w:rPr>
                <w:rFonts w:hint="default" w:eastAsia="宋体"/>
                <w:color w:val="auto"/>
                <w:highlight w:val="none"/>
                <w:lang w:val="en-US" w:eastAsia="zh-CN"/>
              </w:rPr>
            </w:pPr>
            <w:r>
              <w:rPr>
                <w:rFonts w:hint="eastAsia"/>
                <w:b w:val="0"/>
                <w:bCs w:val="0"/>
                <w:color w:val="auto"/>
              </w:rPr>
              <w:t>本项目</w:t>
            </w:r>
            <w:r>
              <w:rPr>
                <w:rFonts w:hint="eastAsia"/>
                <w:b w:val="0"/>
                <w:bCs w:val="0"/>
                <w:color w:val="auto"/>
                <w:lang w:val="en-US" w:eastAsia="zh-CN"/>
              </w:rPr>
              <w:t>新增</w:t>
            </w:r>
            <w:r>
              <w:rPr>
                <w:rFonts w:hint="eastAsia"/>
                <w:b w:val="0"/>
                <w:bCs w:val="0"/>
                <w:color w:val="auto"/>
              </w:rPr>
              <w:t>劳动定员为</w:t>
            </w:r>
            <w:r>
              <w:rPr>
                <w:rFonts w:hint="eastAsia"/>
                <w:b w:val="0"/>
                <w:bCs w:val="0"/>
                <w:color w:val="auto"/>
                <w:lang w:val="en-US" w:eastAsia="zh-CN"/>
              </w:rPr>
              <w:t>5</w:t>
            </w:r>
            <w:r>
              <w:rPr>
                <w:rFonts w:hint="eastAsia"/>
                <w:b w:val="0"/>
                <w:bCs w:val="0"/>
                <w:color w:val="auto"/>
              </w:rPr>
              <w:t>人，每年工作</w:t>
            </w:r>
            <w:r>
              <w:rPr>
                <w:rFonts w:hint="eastAsia"/>
                <w:b w:val="0"/>
                <w:bCs w:val="0"/>
                <w:color w:val="auto"/>
                <w:lang w:val="en-US" w:eastAsia="zh-CN"/>
              </w:rPr>
              <w:t>25</w:t>
            </w:r>
            <w:r>
              <w:rPr>
                <w:rFonts w:hint="eastAsia"/>
                <w:b w:val="0"/>
                <w:bCs w:val="0"/>
                <w:color w:val="auto"/>
              </w:rPr>
              <w:t>0天，根据《江苏省城市生活与公共用水定额》（2019年修订）中的相关用水定额，本项目选取用水量标准为50L/（人*d），则生活用水量</w:t>
            </w:r>
            <w:r>
              <w:rPr>
                <w:rFonts w:hint="eastAsia"/>
                <w:b w:val="0"/>
                <w:bCs w:val="0"/>
                <w:color w:val="auto"/>
                <w:lang w:val="en-US" w:eastAsia="zh-CN"/>
              </w:rPr>
              <w:t>62.5</w:t>
            </w:r>
            <w:r>
              <w:rPr>
                <w:rFonts w:hint="eastAsia"/>
                <w:b w:val="0"/>
                <w:bCs w:val="0"/>
                <w:color w:val="auto"/>
              </w:rPr>
              <w:t>t/a，产污系数以0.8计，生活污水产生量为</w:t>
            </w:r>
            <w:r>
              <w:rPr>
                <w:rFonts w:hint="eastAsia"/>
                <w:b w:val="0"/>
                <w:bCs w:val="0"/>
                <w:color w:val="auto"/>
                <w:lang w:val="en-US" w:eastAsia="zh-CN"/>
              </w:rPr>
              <w:t>5</w:t>
            </w:r>
            <w:r>
              <w:rPr>
                <w:rFonts w:hint="eastAsia"/>
                <w:b w:val="0"/>
                <w:bCs w:val="0"/>
                <w:color w:val="auto"/>
              </w:rPr>
              <w:t>0t/a。</w:t>
            </w:r>
            <w:r>
              <w:rPr>
                <w:rFonts w:hint="eastAsia"/>
                <w:color w:val="auto"/>
              </w:rPr>
              <w:t>污染物为COD</w:t>
            </w:r>
            <w:r>
              <w:rPr>
                <w:rFonts w:hint="eastAsia"/>
                <w:color w:val="auto"/>
                <w:lang w:val="en-US" w:eastAsia="zh-CN"/>
              </w:rPr>
              <w:t>450</w:t>
            </w:r>
            <w:r>
              <w:rPr>
                <w:rFonts w:hint="eastAsia"/>
                <w:color w:val="auto"/>
              </w:rPr>
              <w:t>mg/L</w:t>
            </w:r>
            <w:r>
              <w:rPr>
                <w:rFonts w:hint="eastAsia"/>
                <w:color w:val="auto"/>
                <w:lang w:eastAsia="zh-CN"/>
              </w:rPr>
              <w:t>、</w:t>
            </w:r>
            <w:r>
              <w:rPr>
                <w:rFonts w:hint="eastAsia"/>
                <w:color w:val="auto"/>
              </w:rPr>
              <w:t>SS</w:t>
            </w:r>
            <w:r>
              <w:rPr>
                <w:rFonts w:hint="eastAsia"/>
                <w:color w:val="auto"/>
                <w:lang w:val="en-US" w:eastAsia="zh-CN"/>
              </w:rPr>
              <w:t>350</w:t>
            </w:r>
            <w:r>
              <w:rPr>
                <w:rFonts w:hint="eastAsia"/>
                <w:color w:val="auto"/>
              </w:rPr>
              <w:t>mg/L</w:t>
            </w:r>
            <w:r>
              <w:rPr>
                <w:rFonts w:hint="eastAsia"/>
                <w:color w:val="auto"/>
                <w:lang w:eastAsia="zh-CN"/>
              </w:rPr>
              <w:t>、</w:t>
            </w:r>
            <w:r>
              <w:rPr>
                <w:rFonts w:hint="eastAsia" w:cs="Times New Roman"/>
                <w:color w:val="auto"/>
                <w:lang w:val="en-US" w:eastAsia="zh-CN"/>
              </w:rPr>
              <w:t>NH</w:t>
            </w:r>
            <w:r>
              <w:rPr>
                <w:rFonts w:hint="eastAsia" w:cs="Times New Roman"/>
                <w:color w:val="auto"/>
                <w:vertAlign w:val="subscript"/>
                <w:lang w:val="en-US" w:eastAsia="zh-CN"/>
              </w:rPr>
              <w:t>3</w:t>
            </w:r>
            <w:r>
              <w:rPr>
                <w:rFonts w:hint="eastAsia" w:cs="Times New Roman"/>
                <w:color w:val="auto"/>
                <w:lang w:val="en-US" w:eastAsia="zh-CN"/>
              </w:rPr>
              <w:t>-N 35mg/L</w:t>
            </w:r>
            <w:r>
              <w:rPr>
                <w:rFonts w:hint="eastAsia"/>
                <w:color w:val="auto"/>
                <w:lang w:eastAsia="zh-CN"/>
              </w:rPr>
              <w:t>、</w:t>
            </w:r>
            <w:r>
              <w:rPr>
                <w:rFonts w:hint="eastAsia" w:cs="Times New Roman"/>
                <w:color w:val="auto"/>
                <w:lang w:val="en-US" w:eastAsia="zh-CN"/>
              </w:rPr>
              <w:t>TP6</w:t>
            </w:r>
            <w:r>
              <w:rPr>
                <w:rFonts w:hint="eastAsia"/>
                <w:color w:val="auto"/>
              </w:rPr>
              <w:t>mg/L</w:t>
            </w:r>
            <w:r>
              <w:rPr>
                <w:rFonts w:hint="eastAsia"/>
                <w:color w:val="auto"/>
                <w:lang w:eastAsia="zh-CN"/>
              </w:rPr>
              <w:t>、</w:t>
            </w:r>
            <w:r>
              <w:rPr>
                <w:rFonts w:hint="eastAsia" w:cs="Times New Roman"/>
                <w:color w:val="auto"/>
                <w:lang w:val="en-US" w:eastAsia="zh-CN"/>
              </w:rPr>
              <w:t>TN60mg/L</w:t>
            </w:r>
            <w:r>
              <w:rPr>
                <w:rFonts w:hint="eastAsia"/>
                <w:color w:val="auto"/>
              </w:rPr>
              <w:t>。</w:t>
            </w:r>
          </w:p>
          <w:p w14:paraId="71E79073">
            <w:pPr>
              <w:bidi w:val="0"/>
              <w:rPr>
                <w:rFonts w:hint="eastAsia"/>
                <w:color w:val="auto"/>
                <w:highlight w:val="none"/>
                <w:lang w:val="en-US" w:eastAsia="zh-CN"/>
              </w:rPr>
            </w:pPr>
            <w:r>
              <w:rPr>
                <w:rFonts w:hint="eastAsia"/>
                <w:color w:val="auto"/>
                <w:highlight w:val="none"/>
                <w:lang w:val="en-US" w:eastAsia="zh-CN"/>
              </w:rPr>
              <w:t>本</w:t>
            </w:r>
            <w:r>
              <w:rPr>
                <w:rFonts w:hint="default"/>
                <w:color w:val="auto"/>
                <w:highlight w:val="none"/>
              </w:rPr>
              <w:t>项目水污染物产生排放</w:t>
            </w:r>
            <w:r>
              <w:rPr>
                <w:rFonts w:hint="eastAsia"/>
                <w:color w:val="auto"/>
                <w:highlight w:val="none"/>
                <w:lang w:eastAsia="zh-CN"/>
              </w:rPr>
              <w:t>情况</w:t>
            </w:r>
            <w:r>
              <w:rPr>
                <w:rFonts w:hint="eastAsia"/>
                <w:color w:val="auto"/>
                <w:highlight w:val="none"/>
                <w:lang w:val="en-US" w:eastAsia="zh-CN"/>
              </w:rPr>
              <w:t>见下表。</w:t>
            </w:r>
          </w:p>
          <w:p w14:paraId="09D97048">
            <w:pPr>
              <w:pStyle w:val="52"/>
              <w:bidi w:val="0"/>
              <w:ind w:left="5518" w:leftChars="0" w:hanging="5518" w:firstLineChars="0"/>
              <w:rPr>
                <w:rFonts w:hint="default"/>
                <w:color w:val="auto"/>
              </w:rPr>
            </w:pPr>
            <w:r>
              <w:rPr>
                <w:rFonts w:hint="eastAsia"/>
                <w:color w:val="auto"/>
                <w:lang w:val="en-US" w:eastAsia="zh-CN"/>
              </w:rPr>
              <w:t>本</w:t>
            </w:r>
            <w:r>
              <w:rPr>
                <w:rFonts w:hint="default"/>
                <w:color w:val="auto"/>
              </w:rPr>
              <w:t>项目水污染物产生</w:t>
            </w:r>
            <w:r>
              <w:rPr>
                <w:rFonts w:hint="eastAsia"/>
                <w:color w:val="auto"/>
                <w:lang w:eastAsia="zh-CN"/>
              </w:rPr>
              <w:t>、</w:t>
            </w:r>
            <w:r>
              <w:rPr>
                <w:rFonts w:hint="eastAsia"/>
                <w:color w:val="auto"/>
                <w:lang w:val="en-US" w:eastAsia="zh-CN"/>
              </w:rPr>
              <w:t>处理</w:t>
            </w:r>
            <w:r>
              <w:rPr>
                <w:rFonts w:hint="eastAsia"/>
                <w:color w:val="auto"/>
                <w:lang w:eastAsia="zh-CN"/>
              </w:rPr>
              <w:t>情况</w:t>
            </w:r>
            <w:r>
              <w:rPr>
                <w:rFonts w:hint="eastAsia"/>
                <w:color w:val="auto"/>
                <w:lang w:val="en-US" w:eastAsia="zh-CN"/>
              </w:rPr>
              <w:t>表</w:t>
            </w:r>
          </w:p>
          <w:tbl>
            <w:tblPr>
              <w:tblStyle w:val="33"/>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07"/>
              <w:gridCol w:w="1012"/>
              <w:gridCol w:w="1119"/>
              <w:gridCol w:w="959"/>
              <w:gridCol w:w="548"/>
              <w:gridCol w:w="867"/>
              <w:gridCol w:w="1105"/>
              <w:gridCol w:w="1047"/>
              <w:gridCol w:w="570"/>
            </w:tblGrid>
            <w:tr w14:paraId="7136C7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64" w:type="pct"/>
                  <w:vMerge w:val="restart"/>
                  <w:vAlign w:val="center"/>
                </w:tcPr>
                <w:p w14:paraId="0312F3E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污水种类</w:t>
                  </w:r>
                </w:p>
              </w:tc>
              <w:tc>
                <w:tcPr>
                  <w:tcW w:w="1853" w:type="pct"/>
                  <w:gridSpan w:val="3"/>
                  <w:vAlign w:val="center"/>
                </w:tcPr>
                <w:p w14:paraId="255B5D4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产生量</w:t>
                  </w:r>
                </w:p>
              </w:tc>
              <w:tc>
                <w:tcPr>
                  <w:tcW w:w="328" w:type="pct"/>
                  <w:vMerge w:val="restart"/>
                  <w:tcMar>
                    <w:top w:w="57" w:type="dxa"/>
                    <w:left w:w="28" w:type="dxa"/>
                    <w:bottom w:w="57" w:type="dxa"/>
                    <w:right w:w="28" w:type="dxa"/>
                  </w:tcMar>
                  <w:vAlign w:val="center"/>
                </w:tcPr>
                <w:p w14:paraId="063564E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治理设施</w:t>
                  </w:r>
                </w:p>
              </w:tc>
              <w:tc>
                <w:tcPr>
                  <w:tcW w:w="1811" w:type="pct"/>
                  <w:gridSpan w:val="3"/>
                  <w:tcMar>
                    <w:top w:w="57" w:type="dxa"/>
                    <w:left w:w="28" w:type="dxa"/>
                    <w:bottom w:w="57" w:type="dxa"/>
                    <w:right w:w="28" w:type="dxa"/>
                  </w:tcMar>
                  <w:vAlign w:val="center"/>
                </w:tcPr>
                <w:p w14:paraId="678D42F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接管量</w:t>
                  </w:r>
                </w:p>
              </w:tc>
              <w:tc>
                <w:tcPr>
                  <w:tcW w:w="341" w:type="pct"/>
                  <w:vMerge w:val="restart"/>
                  <w:tcMar>
                    <w:top w:w="57" w:type="dxa"/>
                    <w:left w:w="28" w:type="dxa"/>
                    <w:bottom w:w="57" w:type="dxa"/>
                    <w:right w:w="28" w:type="dxa"/>
                  </w:tcMar>
                  <w:vAlign w:val="center"/>
                </w:tcPr>
                <w:p w14:paraId="5E8C982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排放去向</w:t>
                  </w:r>
                </w:p>
              </w:tc>
            </w:tr>
            <w:tr w14:paraId="6265E7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64" w:type="pct"/>
                  <w:vMerge w:val="continue"/>
                  <w:vAlign w:val="center"/>
                </w:tcPr>
                <w:p w14:paraId="764B167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607" w:type="pct"/>
                  <w:vAlign w:val="center"/>
                </w:tcPr>
                <w:p w14:paraId="0D21B16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污染物</w:t>
                  </w:r>
                </w:p>
                <w:p w14:paraId="6B0C102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名称</w:t>
                  </w:r>
                </w:p>
              </w:tc>
              <w:tc>
                <w:tcPr>
                  <w:tcW w:w="671" w:type="pct"/>
                  <w:vAlign w:val="center"/>
                </w:tcPr>
                <w:p w14:paraId="71CD0FE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产生浓度mg/L</w:t>
                  </w:r>
                </w:p>
              </w:tc>
              <w:tc>
                <w:tcPr>
                  <w:tcW w:w="575" w:type="pct"/>
                  <w:tcMar>
                    <w:top w:w="57" w:type="dxa"/>
                    <w:left w:w="28" w:type="dxa"/>
                    <w:bottom w:w="57" w:type="dxa"/>
                    <w:right w:w="28" w:type="dxa"/>
                  </w:tcMar>
                  <w:vAlign w:val="center"/>
                </w:tcPr>
                <w:p w14:paraId="63D249B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产生量</w:t>
                  </w:r>
                </w:p>
                <w:p w14:paraId="0BF199F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t/a</w:t>
                  </w:r>
                </w:p>
              </w:tc>
              <w:tc>
                <w:tcPr>
                  <w:tcW w:w="328" w:type="pct"/>
                  <w:vMerge w:val="continue"/>
                  <w:tcMar>
                    <w:top w:w="57" w:type="dxa"/>
                    <w:left w:w="28" w:type="dxa"/>
                    <w:bottom w:w="57" w:type="dxa"/>
                    <w:right w:w="28" w:type="dxa"/>
                  </w:tcMar>
                  <w:vAlign w:val="center"/>
                </w:tcPr>
                <w:p w14:paraId="25B2923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520" w:type="pct"/>
                  <w:tcMar>
                    <w:top w:w="57" w:type="dxa"/>
                    <w:left w:w="28" w:type="dxa"/>
                    <w:bottom w:w="57" w:type="dxa"/>
                    <w:right w:w="28" w:type="dxa"/>
                  </w:tcMar>
                  <w:vAlign w:val="center"/>
                </w:tcPr>
                <w:p w14:paraId="0AA64C2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污染物名称</w:t>
                  </w:r>
                </w:p>
              </w:tc>
              <w:tc>
                <w:tcPr>
                  <w:tcW w:w="662" w:type="pct"/>
                  <w:tcMar>
                    <w:top w:w="57" w:type="dxa"/>
                    <w:left w:w="28" w:type="dxa"/>
                    <w:bottom w:w="57" w:type="dxa"/>
                    <w:right w:w="28" w:type="dxa"/>
                  </w:tcMar>
                  <w:vAlign w:val="center"/>
                </w:tcPr>
                <w:p w14:paraId="49AFE01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接管浓度mg/L</w:t>
                  </w:r>
                </w:p>
              </w:tc>
              <w:tc>
                <w:tcPr>
                  <w:tcW w:w="628" w:type="pct"/>
                  <w:tcMar>
                    <w:top w:w="57" w:type="dxa"/>
                    <w:left w:w="28" w:type="dxa"/>
                    <w:bottom w:w="57" w:type="dxa"/>
                    <w:right w:w="28" w:type="dxa"/>
                  </w:tcMar>
                  <w:vAlign w:val="center"/>
                </w:tcPr>
                <w:p w14:paraId="4EB5AD8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接管量t/a</w:t>
                  </w:r>
                </w:p>
              </w:tc>
              <w:tc>
                <w:tcPr>
                  <w:tcW w:w="341" w:type="pct"/>
                  <w:vMerge w:val="continue"/>
                  <w:tcMar>
                    <w:top w:w="57" w:type="dxa"/>
                    <w:left w:w="28" w:type="dxa"/>
                    <w:bottom w:w="57" w:type="dxa"/>
                    <w:right w:w="28" w:type="dxa"/>
                  </w:tcMar>
                  <w:vAlign w:val="center"/>
                </w:tcPr>
                <w:p w14:paraId="15AD8A1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bCs/>
                      <w:color w:val="auto"/>
                      <w:sz w:val="21"/>
                      <w:szCs w:val="21"/>
                      <w:lang w:eastAsia="zh-CN"/>
                    </w:rPr>
                  </w:pPr>
                </w:p>
              </w:tc>
            </w:tr>
            <w:tr w14:paraId="2C6C6C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64" w:type="pct"/>
                  <w:vMerge w:val="restart"/>
                  <w:tcMar>
                    <w:top w:w="57" w:type="dxa"/>
                    <w:bottom w:w="57" w:type="dxa"/>
                  </w:tcMar>
                  <w:vAlign w:val="center"/>
                </w:tcPr>
                <w:p w14:paraId="1A335AA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生活污水</w:t>
                  </w:r>
                </w:p>
                <w:p w14:paraId="4B49EFE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w:t>
                  </w:r>
                  <w:r>
                    <w:rPr>
                      <w:rFonts w:hint="default" w:ascii="Times New Roman" w:hAnsi="Times New Roman" w:eastAsia="宋体" w:cs="Times New Roman"/>
                      <w:color w:val="auto"/>
                      <w:sz w:val="21"/>
                      <w:szCs w:val="21"/>
                      <w:lang w:val="en-US" w:eastAsia="zh-CN"/>
                    </w:rPr>
                    <w:t>t/a</w:t>
                  </w:r>
                </w:p>
              </w:tc>
              <w:tc>
                <w:tcPr>
                  <w:tcW w:w="607" w:type="pct"/>
                  <w:tcMar>
                    <w:top w:w="57" w:type="dxa"/>
                    <w:bottom w:w="57" w:type="dxa"/>
                  </w:tcMar>
                  <w:vAlign w:val="center"/>
                </w:tcPr>
                <w:p w14:paraId="34D6C87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COD</w:t>
                  </w:r>
                </w:p>
              </w:tc>
              <w:tc>
                <w:tcPr>
                  <w:tcW w:w="671" w:type="pct"/>
                  <w:tcMar>
                    <w:top w:w="57" w:type="dxa"/>
                    <w:bottom w:w="57" w:type="dxa"/>
                  </w:tcMar>
                  <w:vAlign w:val="center"/>
                </w:tcPr>
                <w:p w14:paraId="158E000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450</w:t>
                  </w:r>
                </w:p>
              </w:tc>
              <w:tc>
                <w:tcPr>
                  <w:tcW w:w="959" w:type="dxa"/>
                  <w:tcMar>
                    <w:top w:w="57" w:type="dxa"/>
                    <w:bottom w:w="57" w:type="dxa"/>
                  </w:tcMar>
                  <w:vAlign w:val="center"/>
                </w:tcPr>
                <w:p w14:paraId="6E76FD4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0.0225</w:t>
                  </w:r>
                </w:p>
              </w:tc>
              <w:tc>
                <w:tcPr>
                  <w:tcW w:w="328" w:type="pct"/>
                  <w:vMerge w:val="restart"/>
                  <w:tcMar>
                    <w:top w:w="57" w:type="dxa"/>
                    <w:bottom w:w="57" w:type="dxa"/>
                  </w:tcMar>
                  <w:vAlign w:val="center"/>
                </w:tcPr>
                <w:p w14:paraId="308859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化粪池</w:t>
                  </w:r>
                </w:p>
              </w:tc>
              <w:tc>
                <w:tcPr>
                  <w:tcW w:w="520" w:type="pct"/>
                  <w:shd w:val="clear" w:color="auto" w:fill="auto"/>
                  <w:tcMar>
                    <w:top w:w="57" w:type="dxa"/>
                    <w:bottom w:w="57" w:type="dxa"/>
                  </w:tcMar>
                  <w:vAlign w:val="center"/>
                </w:tcPr>
                <w:p w14:paraId="32A8C76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COD</w:t>
                  </w:r>
                </w:p>
              </w:tc>
              <w:tc>
                <w:tcPr>
                  <w:tcW w:w="662" w:type="pct"/>
                  <w:tcMar>
                    <w:top w:w="57" w:type="dxa"/>
                    <w:bottom w:w="57" w:type="dxa"/>
                  </w:tcMar>
                  <w:vAlign w:val="center"/>
                </w:tcPr>
                <w:p w14:paraId="3CDA5BB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360</w:t>
                  </w:r>
                </w:p>
              </w:tc>
              <w:tc>
                <w:tcPr>
                  <w:tcW w:w="1047" w:type="dxa"/>
                  <w:tcMar>
                    <w:top w:w="57" w:type="dxa"/>
                    <w:bottom w:w="57" w:type="dxa"/>
                  </w:tcMar>
                  <w:vAlign w:val="center"/>
                </w:tcPr>
                <w:p w14:paraId="0ABAECA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0.018</w:t>
                  </w:r>
                </w:p>
              </w:tc>
              <w:tc>
                <w:tcPr>
                  <w:tcW w:w="341" w:type="pct"/>
                  <w:vMerge w:val="restart"/>
                  <w:tcMar>
                    <w:top w:w="57" w:type="dxa"/>
                    <w:bottom w:w="57" w:type="dxa"/>
                  </w:tcMar>
                  <w:vAlign w:val="center"/>
                </w:tcPr>
                <w:p w14:paraId="3802FF5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空港</w:t>
                  </w:r>
                  <w:r>
                    <w:rPr>
                      <w:rFonts w:hint="default" w:ascii="Times New Roman" w:hAnsi="Times New Roman" w:eastAsia="宋体" w:cs="Times New Roman"/>
                      <w:color w:val="auto"/>
                      <w:sz w:val="21"/>
                      <w:szCs w:val="21"/>
                      <w:lang w:eastAsia="zh-CN"/>
                    </w:rPr>
                    <w:t>污水处理厂</w:t>
                  </w:r>
                </w:p>
              </w:tc>
            </w:tr>
            <w:tr w14:paraId="117B1F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33" w:hRule="atLeast"/>
                <w:jc w:val="center"/>
              </w:trPr>
              <w:tc>
                <w:tcPr>
                  <w:tcW w:w="664" w:type="pct"/>
                  <w:vMerge w:val="continue"/>
                  <w:tcMar>
                    <w:top w:w="57" w:type="dxa"/>
                    <w:bottom w:w="57" w:type="dxa"/>
                  </w:tcMar>
                  <w:vAlign w:val="center"/>
                </w:tcPr>
                <w:p w14:paraId="439EA0D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07" w:type="pct"/>
                  <w:tcMar>
                    <w:top w:w="57" w:type="dxa"/>
                    <w:bottom w:w="57" w:type="dxa"/>
                  </w:tcMar>
                  <w:vAlign w:val="center"/>
                </w:tcPr>
                <w:p w14:paraId="304C920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w:t>
                  </w:r>
                </w:p>
              </w:tc>
              <w:tc>
                <w:tcPr>
                  <w:tcW w:w="671" w:type="pct"/>
                  <w:tcMar>
                    <w:top w:w="57" w:type="dxa"/>
                    <w:bottom w:w="57" w:type="dxa"/>
                  </w:tcMar>
                  <w:vAlign w:val="center"/>
                </w:tcPr>
                <w:p w14:paraId="0A58ED9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350</w:t>
                  </w:r>
                </w:p>
              </w:tc>
              <w:tc>
                <w:tcPr>
                  <w:tcW w:w="959" w:type="dxa"/>
                  <w:tcMar>
                    <w:top w:w="57" w:type="dxa"/>
                    <w:bottom w:w="57" w:type="dxa"/>
                  </w:tcMar>
                  <w:vAlign w:val="center"/>
                </w:tcPr>
                <w:p w14:paraId="74B2A8A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0.0175</w:t>
                  </w:r>
                </w:p>
              </w:tc>
              <w:tc>
                <w:tcPr>
                  <w:tcW w:w="328" w:type="pct"/>
                  <w:vMerge w:val="continue"/>
                  <w:tcMar>
                    <w:top w:w="57" w:type="dxa"/>
                    <w:bottom w:w="57" w:type="dxa"/>
                  </w:tcMar>
                  <w:vAlign w:val="center"/>
                </w:tcPr>
                <w:p w14:paraId="12B249E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520" w:type="pct"/>
                  <w:shd w:val="clear" w:color="auto" w:fill="auto"/>
                  <w:tcMar>
                    <w:top w:w="57" w:type="dxa"/>
                    <w:bottom w:w="57" w:type="dxa"/>
                  </w:tcMar>
                  <w:vAlign w:val="center"/>
                </w:tcPr>
                <w:p w14:paraId="694D64D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SS</w:t>
                  </w:r>
                </w:p>
              </w:tc>
              <w:tc>
                <w:tcPr>
                  <w:tcW w:w="662" w:type="pct"/>
                  <w:shd w:val="clear" w:color="auto" w:fill="auto"/>
                  <w:tcMar>
                    <w:top w:w="57" w:type="dxa"/>
                    <w:bottom w:w="57" w:type="dxa"/>
                  </w:tcMar>
                  <w:vAlign w:val="center"/>
                </w:tcPr>
                <w:p w14:paraId="79194D2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140</w:t>
                  </w:r>
                </w:p>
              </w:tc>
              <w:tc>
                <w:tcPr>
                  <w:tcW w:w="1047" w:type="dxa"/>
                  <w:shd w:val="clear" w:color="auto" w:fill="auto"/>
                  <w:tcMar>
                    <w:top w:w="57" w:type="dxa"/>
                    <w:bottom w:w="57" w:type="dxa"/>
                  </w:tcMar>
                  <w:vAlign w:val="center"/>
                </w:tcPr>
                <w:p w14:paraId="3458F2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0.007</w:t>
                  </w:r>
                </w:p>
              </w:tc>
              <w:tc>
                <w:tcPr>
                  <w:tcW w:w="341" w:type="pct"/>
                  <w:vMerge w:val="continue"/>
                  <w:tcMar>
                    <w:top w:w="57" w:type="dxa"/>
                    <w:bottom w:w="57" w:type="dxa"/>
                  </w:tcMar>
                  <w:vAlign w:val="center"/>
                </w:tcPr>
                <w:p w14:paraId="655706C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eastAsia="zh-CN"/>
                    </w:rPr>
                  </w:pPr>
                </w:p>
              </w:tc>
            </w:tr>
            <w:tr w14:paraId="4ABBF1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64" w:type="pct"/>
                  <w:vMerge w:val="continue"/>
                  <w:tcMar>
                    <w:top w:w="57" w:type="dxa"/>
                    <w:bottom w:w="57" w:type="dxa"/>
                  </w:tcMar>
                  <w:vAlign w:val="center"/>
                </w:tcPr>
                <w:p w14:paraId="4AB4E3F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07" w:type="pct"/>
                  <w:tcMar>
                    <w:top w:w="57" w:type="dxa"/>
                    <w:bottom w:w="57" w:type="dxa"/>
                  </w:tcMar>
                  <w:vAlign w:val="center"/>
                </w:tcPr>
                <w:p w14:paraId="6B3C5AD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NH</w:t>
                  </w:r>
                  <w:r>
                    <w:rPr>
                      <w:rFonts w:hint="default" w:ascii="Times New Roman" w:hAnsi="Times New Roman" w:eastAsia="宋体" w:cs="Times New Roman"/>
                      <w:color w:val="auto"/>
                      <w:sz w:val="21"/>
                      <w:szCs w:val="21"/>
                      <w:vertAlign w:val="subscript"/>
                      <w:lang w:val="en-US" w:eastAsia="zh-CN"/>
                    </w:rPr>
                    <w:t>3</w:t>
                  </w:r>
                  <w:r>
                    <w:rPr>
                      <w:rFonts w:hint="default" w:ascii="Times New Roman" w:hAnsi="Times New Roman" w:eastAsia="宋体" w:cs="Times New Roman"/>
                      <w:color w:val="auto"/>
                      <w:sz w:val="21"/>
                      <w:szCs w:val="21"/>
                      <w:lang w:val="en-US" w:eastAsia="zh-CN"/>
                    </w:rPr>
                    <w:t>-N</w:t>
                  </w:r>
                </w:p>
              </w:tc>
              <w:tc>
                <w:tcPr>
                  <w:tcW w:w="671" w:type="pct"/>
                  <w:tcMar>
                    <w:top w:w="57" w:type="dxa"/>
                    <w:bottom w:w="57" w:type="dxa"/>
                  </w:tcMar>
                  <w:vAlign w:val="center"/>
                </w:tcPr>
                <w:p w14:paraId="552BE05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w:t>
                  </w:r>
                </w:p>
              </w:tc>
              <w:tc>
                <w:tcPr>
                  <w:tcW w:w="959" w:type="dxa"/>
                  <w:tcMar>
                    <w:top w:w="57" w:type="dxa"/>
                    <w:bottom w:w="57" w:type="dxa"/>
                  </w:tcMar>
                  <w:vAlign w:val="center"/>
                </w:tcPr>
                <w:p w14:paraId="382D047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0.0018 </w:t>
                  </w:r>
                </w:p>
              </w:tc>
              <w:tc>
                <w:tcPr>
                  <w:tcW w:w="328" w:type="pct"/>
                  <w:vMerge w:val="continue"/>
                  <w:tcMar>
                    <w:top w:w="57" w:type="dxa"/>
                    <w:bottom w:w="57" w:type="dxa"/>
                  </w:tcMar>
                  <w:vAlign w:val="center"/>
                </w:tcPr>
                <w:p w14:paraId="79808F0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520" w:type="pct"/>
                  <w:shd w:val="clear" w:color="auto" w:fill="auto"/>
                  <w:tcMar>
                    <w:top w:w="57" w:type="dxa"/>
                    <w:bottom w:w="57" w:type="dxa"/>
                  </w:tcMar>
                  <w:vAlign w:val="center"/>
                </w:tcPr>
                <w:p w14:paraId="328146D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NH</w:t>
                  </w:r>
                  <w:r>
                    <w:rPr>
                      <w:rFonts w:hint="default" w:ascii="Times New Roman" w:hAnsi="Times New Roman" w:eastAsia="宋体" w:cs="Times New Roman"/>
                      <w:color w:val="auto"/>
                      <w:sz w:val="21"/>
                      <w:szCs w:val="21"/>
                      <w:vertAlign w:val="subscript"/>
                      <w:lang w:val="en-US" w:eastAsia="zh-CN"/>
                    </w:rPr>
                    <w:t>3</w:t>
                  </w:r>
                  <w:r>
                    <w:rPr>
                      <w:rFonts w:hint="default" w:ascii="Times New Roman" w:hAnsi="Times New Roman" w:eastAsia="宋体" w:cs="Times New Roman"/>
                      <w:color w:val="auto"/>
                      <w:sz w:val="21"/>
                      <w:szCs w:val="21"/>
                      <w:lang w:val="en-US" w:eastAsia="zh-CN"/>
                    </w:rPr>
                    <w:t>-N</w:t>
                  </w:r>
                </w:p>
              </w:tc>
              <w:tc>
                <w:tcPr>
                  <w:tcW w:w="662" w:type="pct"/>
                  <w:shd w:val="clear" w:color="auto" w:fill="auto"/>
                  <w:tcMar>
                    <w:top w:w="57" w:type="dxa"/>
                    <w:bottom w:w="57" w:type="dxa"/>
                  </w:tcMar>
                  <w:vAlign w:val="center"/>
                </w:tcPr>
                <w:p w14:paraId="43336A8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w:t>
                  </w:r>
                </w:p>
              </w:tc>
              <w:tc>
                <w:tcPr>
                  <w:tcW w:w="1047" w:type="dxa"/>
                  <w:shd w:val="clear" w:color="auto" w:fill="auto"/>
                  <w:tcMar>
                    <w:top w:w="57" w:type="dxa"/>
                    <w:bottom w:w="57" w:type="dxa"/>
                  </w:tcMar>
                  <w:vAlign w:val="center"/>
                </w:tcPr>
                <w:p w14:paraId="2525BDA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0.0018 </w:t>
                  </w:r>
                </w:p>
              </w:tc>
              <w:tc>
                <w:tcPr>
                  <w:tcW w:w="341" w:type="pct"/>
                  <w:vMerge w:val="continue"/>
                  <w:tcMar>
                    <w:top w:w="57" w:type="dxa"/>
                    <w:bottom w:w="57" w:type="dxa"/>
                  </w:tcMar>
                  <w:vAlign w:val="center"/>
                </w:tcPr>
                <w:p w14:paraId="317BB81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eastAsia="zh-CN"/>
                    </w:rPr>
                  </w:pPr>
                </w:p>
              </w:tc>
            </w:tr>
            <w:tr w14:paraId="22F582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64" w:type="pct"/>
                  <w:vMerge w:val="continue"/>
                  <w:tcMar>
                    <w:top w:w="57" w:type="dxa"/>
                    <w:bottom w:w="57" w:type="dxa"/>
                  </w:tcMar>
                  <w:vAlign w:val="center"/>
                </w:tcPr>
                <w:p w14:paraId="53E879B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07" w:type="pct"/>
                  <w:tcMar>
                    <w:top w:w="57" w:type="dxa"/>
                    <w:bottom w:w="57" w:type="dxa"/>
                  </w:tcMar>
                  <w:vAlign w:val="center"/>
                </w:tcPr>
                <w:p w14:paraId="4F96C8C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TP</w:t>
                  </w:r>
                </w:p>
              </w:tc>
              <w:tc>
                <w:tcPr>
                  <w:tcW w:w="671" w:type="pct"/>
                  <w:tcMar>
                    <w:top w:w="57" w:type="dxa"/>
                    <w:bottom w:w="57" w:type="dxa"/>
                  </w:tcMar>
                  <w:vAlign w:val="center"/>
                </w:tcPr>
                <w:p w14:paraId="15159B7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959" w:type="dxa"/>
                  <w:tcMar>
                    <w:top w:w="57" w:type="dxa"/>
                    <w:bottom w:w="57" w:type="dxa"/>
                  </w:tcMar>
                  <w:vAlign w:val="center"/>
                </w:tcPr>
                <w:p w14:paraId="4A662BD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0.0003</w:t>
                  </w:r>
                </w:p>
              </w:tc>
              <w:tc>
                <w:tcPr>
                  <w:tcW w:w="328" w:type="pct"/>
                  <w:vMerge w:val="continue"/>
                  <w:tcMar>
                    <w:top w:w="57" w:type="dxa"/>
                    <w:bottom w:w="57" w:type="dxa"/>
                  </w:tcMar>
                  <w:vAlign w:val="center"/>
                </w:tcPr>
                <w:p w14:paraId="1EF6A2F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520" w:type="pct"/>
                  <w:shd w:val="clear" w:color="auto" w:fill="auto"/>
                  <w:tcMar>
                    <w:top w:w="57" w:type="dxa"/>
                    <w:bottom w:w="57" w:type="dxa"/>
                  </w:tcMar>
                  <w:vAlign w:val="center"/>
                </w:tcPr>
                <w:p w14:paraId="128B1C9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TP</w:t>
                  </w:r>
                </w:p>
              </w:tc>
              <w:tc>
                <w:tcPr>
                  <w:tcW w:w="662" w:type="pct"/>
                  <w:shd w:val="clear" w:color="auto" w:fill="auto"/>
                  <w:tcMar>
                    <w:top w:w="57" w:type="dxa"/>
                    <w:bottom w:w="57" w:type="dxa"/>
                  </w:tcMar>
                  <w:vAlign w:val="center"/>
                </w:tcPr>
                <w:p w14:paraId="2D6B176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1047" w:type="dxa"/>
                  <w:shd w:val="clear" w:color="auto" w:fill="auto"/>
                  <w:tcMar>
                    <w:top w:w="57" w:type="dxa"/>
                    <w:bottom w:w="57" w:type="dxa"/>
                  </w:tcMar>
                  <w:vAlign w:val="center"/>
                </w:tcPr>
                <w:p w14:paraId="5ED039D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0.0003</w:t>
                  </w:r>
                </w:p>
              </w:tc>
              <w:tc>
                <w:tcPr>
                  <w:tcW w:w="341" w:type="pct"/>
                  <w:vMerge w:val="continue"/>
                  <w:tcMar>
                    <w:top w:w="57" w:type="dxa"/>
                    <w:bottom w:w="57" w:type="dxa"/>
                  </w:tcMar>
                  <w:vAlign w:val="center"/>
                </w:tcPr>
                <w:p w14:paraId="5845B62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eastAsia="zh-CN"/>
                    </w:rPr>
                  </w:pPr>
                </w:p>
              </w:tc>
            </w:tr>
            <w:tr w14:paraId="310297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64" w:type="pct"/>
                  <w:vMerge w:val="continue"/>
                  <w:tcMar>
                    <w:top w:w="57" w:type="dxa"/>
                    <w:bottom w:w="57" w:type="dxa"/>
                  </w:tcMar>
                  <w:vAlign w:val="center"/>
                </w:tcPr>
                <w:p w14:paraId="0E5E967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607" w:type="pct"/>
                  <w:tcMar>
                    <w:top w:w="57" w:type="dxa"/>
                    <w:bottom w:w="57" w:type="dxa"/>
                  </w:tcMar>
                  <w:vAlign w:val="center"/>
                </w:tcPr>
                <w:p w14:paraId="433CD37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TN</w:t>
                  </w:r>
                </w:p>
              </w:tc>
              <w:tc>
                <w:tcPr>
                  <w:tcW w:w="671" w:type="pct"/>
                  <w:tcMar>
                    <w:top w:w="57" w:type="dxa"/>
                    <w:bottom w:w="57" w:type="dxa"/>
                  </w:tcMar>
                  <w:vAlign w:val="center"/>
                </w:tcPr>
                <w:p w14:paraId="5418632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959" w:type="dxa"/>
                  <w:tcMar>
                    <w:top w:w="57" w:type="dxa"/>
                    <w:bottom w:w="57" w:type="dxa"/>
                  </w:tcMar>
                  <w:vAlign w:val="center"/>
                </w:tcPr>
                <w:p w14:paraId="61DBCCF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0.003</w:t>
                  </w:r>
                </w:p>
              </w:tc>
              <w:tc>
                <w:tcPr>
                  <w:tcW w:w="328" w:type="pct"/>
                  <w:vMerge w:val="continue"/>
                  <w:tcMar>
                    <w:top w:w="57" w:type="dxa"/>
                    <w:bottom w:w="57" w:type="dxa"/>
                  </w:tcMar>
                  <w:vAlign w:val="center"/>
                </w:tcPr>
                <w:p w14:paraId="456EB3F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520" w:type="pct"/>
                  <w:shd w:val="clear" w:color="auto" w:fill="auto"/>
                  <w:tcMar>
                    <w:top w:w="57" w:type="dxa"/>
                    <w:bottom w:w="57" w:type="dxa"/>
                  </w:tcMar>
                  <w:vAlign w:val="center"/>
                </w:tcPr>
                <w:p w14:paraId="1B9A6E9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TN</w:t>
                  </w:r>
                </w:p>
              </w:tc>
              <w:tc>
                <w:tcPr>
                  <w:tcW w:w="662" w:type="pct"/>
                  <w:shd w:val="clear" w:color="auto" w:fill="auto"/>
                  <w:tcMar>
                    <w:top w:w="57" w:type="dxa"/>
                    <w:bottom w:w="57" w:type="dxa"/>
                  </w:tcMar>
                  <w:vAlign w:val="center"/>
                </w:tcPr>
                <w:p w14:paraId="20E3EFD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1047" w:type="dxa"/>
                  <w:shd w:val="clear" w:color="auto" w:fill="auto"/>
                  <w:tcMar>
                    <w:top w:w="57" w:type="dxa"/>
                    <w:bottom w:w="57" w:type="dxa"/>
                  </w:tcMar>
                  <w:vAlign w:val="center"/>
                </w:tcPr>
                <w:p w14:paraId="2758018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0.003</w:t>
                  </w:r>
                </w:p>
              </w:tc>
              <w:tc>
                <w:tcPr>
                  <w:tcW w:w="341" w:type="pct"/>
                  <w:vMerge w:val="continue"/>
                  <w:tcMar>
                    <w:top w:w="57" w:type="dxa"/>
                    <w:bottom w:w="57" w:type="dxa"/>
                  </w:tcMar>
                  <w:vAlign w:val="center"/>
                </w:tcPr>
                <w:p w14:paraId="2C4851E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eastAsia="zh-CN"/>
                    </w:rPr>
                  </w:pPr>
                </w:p>
              </w:tc>
            </w:tr>
          </w:tbl>
          <w:p w14:paraId="41B21F14">
            <w:pPr>
              <w:pStyle w:val="52"/>
              <w:bidi w:val="0"/>
              <w:ind w:left="5518" w:leftChars="0" w:hanging="5518" w:firstLineChars="0"/>
              <w:rPr>
                <w:rFonts w:hint="default"/>
                <w:color w:val="auto"/>
              </w:rPr>
            </w:pPr>
            <w:r>
              <w:rPr>
                <w:rFonts w:hint="eastAsia"/>
                <w:color w:val="auto"/>
                <w:lang w:val="en-US" w:eastAsia="zh-CN"/>
              </w:rPr>
              <w:t>本</w:t>
            </w:r>
            <w:r>
              <w:rPr>
                <w:rFonts w:hint="default"/>
                <w:color w:val="auto"/>
              </w:rPr>
              <w:t>项目水污染物排放</w:t>
            </w:r>
            <w:r>
              <w:rPr>
                <w:rFonts w:hint="eastAsia"/>
                <w:color w:val="auto"/>
                <w:lang w:eastAsia="zh-CN"/>
              </w:rPr>
              <w:t>情况</w:t>
            </w:r>
            <w:r>
              <w:rPr>
                <w:rFonts w:hint="eastAsia"/>
                <w:color w:val="auto"/>
                <w:lang w:val="en-US" w:eastAsia="zh-CN"/>
              </w:rPr>
              <w:t>表</w:t>
            </w:r>
          </w:p>
          <w:tbl>
            <w:tblPr>
              <w:tblStyle w:val="33"/>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53"/>
              <w:gridCol w:w="955"/>
              <w:gridCol w:w="984"/>
              <w:gridCol w:w="937"/>
              <w:gridCol w:w="896"/>
              <w:gridCol w:w="855"/>
              <w:gridCol w:w="848"/>
              <w:gridCol w:w="978"/>
              <w:gridCol w:w="1021"/>
            </w:tblGrid>
            <w:tr w14:paraId="7BBECD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2" w:type="pct"/>
                  <w:vMerge w:val="restart"/>
                  <w:vAlign w:val="center"/>
                </w:tcPr>
                <w:p w14:paraId="03A6ACEC">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污水种类</w:t>
                  </w:r>
                </w:p>
              </w:tc>
              <w:tc>
                <w:tcPr>
                  <w:tcW w:w="1726" w:type="pct"/>
                  <w:gridSpan w:val="3"/>
                  <w:vAlign w:val="center"/>
                </w:tcPr>
                <w:p w14:paraId="7EF98480">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接管量</w:t>
                  </w:r>
                </w:p>
              </w:tc>
              <w:tc>
                <w:tcPr>
                  <w:tcW w:w="538" w:type="pct"/>
                  <w:vMerge w:val="restart"/>
                  <w:tcMar>
                    <w:top w:w="57" w:type="dxa"/>
                    <w:left w:w="28" w:type="dxa"/>
                    <w:bottom w:w="57" w:type="dxa"/>
                    <w:right w:w="28" w:type="dxa"/>
                  </w:tcMar>
                  <w:vAlign w:val="center"/>
                </w:tcPr>
                <w:p w14:paraId="2AD44989">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治理设施/去向</w:t>
                  </w:r>
                </w:p>
              </w:tc>
              <w:tc>
                <w:tcPr>
                  <w:tcW w:w="1609" w:type="pct"/>
                  <w:gridSpan w:val="3"/>
                  <w:tcMar>
                    <w:top w:w="57" w:type="dxa"/>
                    <w:left w:w="28" w:type="dxa"/>
                    <w:bottom w:w="57" w:type="dxa"/>
                    <w:right w:w="28" w:type="dxa"/>
                  </w:tcMar>
                  <w:vAlign w:val="center"/>
                </w:tcPr>
                <w:p w14:paraId="6B9526E5">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外排量</w:t>
                  </w:r>
                </w:p>
              </w:tc>
              <w:tc>
                <w:tcPr>
                  <w:tcW w:w="613" w:type="pct"/>
                  <w:vMerge w:val="restart"/>
                  <w:tcMar>
                    <w:top w:w="57" w:type="dxa"/>
                    <w:left w:w="28" w:type="dxa"/>
                    <w:bottom w:w="57" w:type="dxa"/>
                    <w:right w:w="28" w:type="dxa"/>
                  </w:tcMar>
                  <w:vAlign w:val="center"/>
                </w:tcPr>
                <w:p w14:paraId="04F798D7">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eastAsia="zh-CN"/>
                    </w:rPr>
                  </w:pPr>
                  <w:r>
                    <w:rPr>
                      <w:rFonts w:hint="eastAsia"/>
                      <w:b/>
                      <w:bCs/>
                      <w:color w:val="auto"/>
                      <w:sz w:val="21"/>
                      <w:szCs w:val="21"/>
                      <w:highlight w:val="none"/>
                      <w:lang w:eastAsia="zh-CN"/>
                    </w:rPr>
                    <w:t>排放去向</w:t>
                  </w:r>
                </w:p>
              </w:tc>
            </w:tr>
            <w:tr w14:paraId="66AEB3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12" w:type="pct"/>
                  <w:vMerge w:val="continue"/>
                  <w:vAlign w:val="center"/>
                </w:tcPr>
                <w:p w14:paraId="047875C8">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p>
              </w:tc>
              <w:tc>
                <w:tcPr>
                  <w:tcW w:w="573" w:type="pct"/>
                  <w:vAlign w:val="center"/>
                </w:tcPr>
                <w:p w14:paraId="0D1BF2CB">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污染物名称</w:t>
                  </w:r>
                </w:p>
              </w:tc>
              <w:tc>
                <w:tcPr>
                  <w:tcW w:w="590" w:type="pct"/>
                  <w:vAlign w:val="center"/>
                </w:tcPr>
                <w:p w14:paraId="3A3DB134">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接管浓度mg/L</w:t>
                  </w:r>
                </w:p>
              </w:tc>
              <w:tc>
                <w:tcPr>
                  <w:tcW w:w="562" w:type="pct"/>
                  <w:tcMar>
                    <w:top w:w="57" w:type="dxa"/>
                    <w:left w:w="28" w:type="dxa"/>
                    <w:bottom w:w="57" w:type="dxa"/>
                    <w:right w:w="28" w:type="dxa"/>
                  </w:tcMar>
                  <w:vAlign w:val="center"/>
                </w:tcPr>
                <w:p w14:paraId="001F8314">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接管量</w:t>
                  </w:r>
                </w:p>
                <w:p w14:paraId="79CB411E">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t/a</w:t>
                  </w:r>
                </w:p>
              </w:tc>
              <w:tc>
                <w:tcPr>
                  <w:tcW w:w="538" w:type="pct"/>
                  <w:vMerge w:val="continue"/>
                  <w:tcMar>
                    <w:top w:w="57" w:type="dxa"/>
                    <w:left w:w="28" w:type="dxa"/>
                    <w:bottom w:w="57" w:type="dxa"/>
                    <w:right w:w="28" w:type="dxa"/>
                  </w:tcMar>
                  <w:vAlign w:val="center"/>
                </w:tcPr>
                <w:p w14:paraId="4D2A0742">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p>
              </w:tc>
              <w:tc>
                <w:tcPr>
                  <w:tcW w:w="513" w:type="pct"/>
                  <w:tcMar>
                    <w:top w:w="57" w:type="dxa"/>
                    <w:left w:w="28" w:type="dxa"/>
                    <w:bottom w:w="57" w:type="dxa"/>
                    <w:right w:w="28" w:type="dxa"/>
                  </w:tcMar>
                  <w:vAlign w:val="center"/>
                </w:tcPr>
                <w:p w14:paraId="1EADBB91">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污染物名称</w:t>
                  </w:r>
                </w:p>
              </w:tc>
              <w:tc>
                <w:tcPr>
                  <w:tcW w:w="509" w:type="pct"/>
                  <w:tcMar>
                    <w:top w:w="57" w:type="dxa"/>
                    <w:left w:w="28" w:type="dxa"/>
                    <w:bottom w:w="57" w:type="dxa"/>
                    <w:right w:w="28" w:type="dxa"/>
                  </w:tcMar>
                  <w:vAlign w:val="center"/>
                </w:tcPr>
                <w:p w14:paraId="36E9FA84">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外排浓度mg/L</w:t>
                  </w:r>
                </w:p>
              </w:tc>
              <w:tc>
                <w:tcPr>
                  <w:tcW w:w="587" w:type="pct"/>
                  <w:tcMar>
                    <w:top w:w="57" w:type="dxa"/>
                    <w:left w:w="28" w:type="dxa"/>
                    <w:bottom w:w="57" w:type="dxa"/>
                    <w:right w:w="28" w:type="dxa"/>
                  </w:tcMar>
                  <w:vAlign w:val="center"/>
                </w:tcPr>
                <w:p w14:paraId="5A4A3D75">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外排量t/a</w:t>
                  </w:r>
                </w:p>
              </w:tc>
              <w:tc>
                <w:tcPr>
                  <w:tcW w:w="613" w:type="pct"/>
                  <w:vMerge w:val="continue"/>
                  <w:tcMar>
                    <w:top w:w="57" w:type="dxa"/>
                    <w:left w:w="28" w:type="dxa"/>
                    <w:bottom w:w="57" w:type="dxa"/>
                    <w:right w:w="28" w:type="dxa"/>
                  </w:tcMar>
                  <w:vAlign w:val="center"/>
                </w:tcPr>
                <w:p w14:paraId="225F5B4B">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b/>
                      <w:bCs/>
                      <w:color w:val="auto"/>
                      <w:sz w:val="21"/>
                      <w:szCs w:val="21"/>
                      <w:highlight w:val="none"/>
                      <w:lang w:eastAsia="zh-CN"/>
                    </w:rPr>
                  </w:pPr>
                </w:p>
              </w:tc>
            </w:tr>
            <w:tr w14:paraId="04FE23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12" w:type="pct"/>
                  <w:vMerge w:val="restart"/>
                  <w:vAlign w:val="center"/>
                </w:tcPr>
                <w:p w14:paraId="42AD3968">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本项目废水</w:t>
                  </w:r>
                  <w:r>
                    <w:rPr>
                      <w:rFonts w:hint="eastAsia" w:cs="Times New Roman"/>
                      <w:color w:val="auto"/>
                      <w:sz w:val="21"/>
                      <w:szCs w:val="21"/>
                      <w:highlight w:val="none"/>
                      <w:lang w:val="en-US" w:eastAsia="zh-CN"/>
                    </w:rPr>
                    <w:t>50</w:t>
                  </w:r>
                  <w:r>
                    <w:rPr>
                      <w:rFonts w:hint="eastAsia" w:ascii="Times New Roman" w:hAnsi="Times New Roman" w:eastAsia="宋体" w:cs="Times New Roman"/>
                      <w:color w:val="auto"/>
                      <w:sz w:val="21"/>
                      <w:szCs w:val="21"/>
                      <w:highlight w:val="none"/>
                      <w:lang w:val="en-US" w:eastAsia="zh-CN"/>
                    </w:rPr>
                    <w:t>t/a</w:t>
                  </w:r>
                </w:p>
              </w:tc>
              <w:tc>
                <w:tcPr>
                  <w:tcW w:w="573" w:type="pct"/>
                  <w:vAlign w:val="center"/>
                </w:tcPr>
                <w:p w14:paraId="2D69163D">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COD</w:t>
                  </w:r>
                </w:p>
              </w:tc>
              <w:tc>
                <w:tcPr>
                  <w:tcW w:w="984" w:type="dxa"/>
                  <w:vAlign w:val="center"/>
                </w:tcPr>
                <w:p w14:paraId="79E1CD0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360</w:t>
                  </w:r>
                </w:p>
              </w:tc>
              <w:tc>
                <w:tcPr>
                  <w:tcW w:w="937" w:type="dxa"/>
                  <w:vAlign w:val="center"/>
                </w:tcPr>
                <w:p w14:paraId="44CD95B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0.018</w:t>
                  </w:r>
                </w:p>
              </w:tc>
              <w:tc>
                <w:tcPr>
                  <w:tcW w:w="538" w:type="pct"/>
                  <w:vMerge w:val="restart"/>
                  <w:vAlign w:val="center"/>
                </w:tcPr>
                <w:p w14:paraId="7C5CEB3D">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接管至</w:t>
                  </w:r>
                  <w:r>
                    <w:rPr>
                      <w:rFonts w:hint="eastAsia" w:cs="Times New Roman"/>
                      <w:color w:val="auto"/>
                      <w:sz w:val="21"/>
                      <w:szCs w:val="21"/>
                      <w:highlight w:val="none"/>
                      <w:lang w:val="en-US" w:eastAsia="zh-CN"/>
                    </w:rPr>
                    <w:t>空港污水处理厂</w:t>
                  </w:r>
                </w:p>
              </w:tc>
              <w:tc>
                <w:tcPr>
                  <w:tcW w:w="513" w:type="pct"/>
                  <w:vAlign w:val="center"/>
                </w:tcPr>
                <w:p w14:paraId="44BC399F">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COD</w:t>
                  </w:r>
                </w:p>
              </w:tc>
              <w:tc>
                <w:tcPr>
                  <w:tcW w:w="848" w:type="dxa"/>
                  <w:vAlign w:val="center"/>
                </w:tcPr>
                <w:p w14:paraId="4C15528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978" w:type="dxa"/>
                  <w:vAlign w:val="center"/>
                </w:tcPr>
                <w:p w14:paraId="5129A3D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0.0025</w:t>
                  </w:r>
                </w:p>
              </w:tc>
              <w:tc>
                <w:tcPr>
                  <w:tcW w:w="613" w:type="pct"/>
                  <w:vMerge w:val="restart"/>
                  <w:vAlign w:val="center"/>
                </w:tcPr>
                <w:p w14:paraId="5041A7B3">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云台山河</w:t>
                  </w:r>
                </w:p>
              </w:tc>
            </w:tr>
            <w:tr w14:paraId="4E46C9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12" w:type="pct"/>
                  <w:vMerge w:val="continue"/>
                  <w:vAlign w:val="center"/>
                </w:tcPr>
                <w:p w14:paraId="6F5FB2EA">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73" w:type="pct"/>
                  <w:vAlign w:val="center"/>
                </w:tcPr>
                <w:p w14:paraId="77DA601B">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SS</w:t>
                  </w:r>
                </w:p>
              </w:tc>
              <w:tc>
                <w:tcPr>
                  <w:tcW w:w="984" w:type="dxa"/>
                  <w:vAlign w:val="center"/>
                </w:tcPr>
                <w:p w14:paraId="6BF9E55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140</w:t>
                  </w:r>
                </w:p>
              </w:tc>
              <w:tc>
                <w:tcPr>
                  <w:tcW w:w="937" w:type="dxa"/>
                  <w:vAlign w:val="center"/>
                </w:tcPr>
                <w:p w14:paraId="4F9E80C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0.007</w:t>
                  </w:r>
                </w:p>
              </w:tc>
              <w:tc>
                <w:tcPr>
                  <w:tcW w:w="538" w:type="pct"/>
                  <w:vMerge w:val="continue"/>
                  <w:vAlign w:val="center"/>
                </w:tcPr>
                <w:p w14:paraId="251D76FF">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13" w:type="pct"/>
                  <w:vAlign w:val="center"/>
                </w:tcPr>
                <w:p w14:paraId="76B027F4">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SS</w:t>
                  </w:r>
                </w:p>
              </w:tc>
              <w:tc>
                <w:tcPr>
                  <w:tcW w:w="848" w:type="dxa"/>
                  <w:vAlign w:val="center"/>
                </w:tcPr>
                <w:p w14:paraId="3A7C9AB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978" w:type="dxa"/>
                  <w:vAlign w:val="center"/>
                </w:tcPr>
                <w:p w14:paraId="4699B7E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0.0005</w:t>
                  </w:r>
                </w:p>
              </w:tc>
              <w:tc>
                <w:tcPr>
                  <w:tcW w:w="613" w:type="pct"/>
                  <w:vMerge w:val="continue"/>
                  <w:vAlign w:val="center"/>
                </w:tcPr>
                <w:p w14:paraId="1AF8D834">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r>
            <w:tr w14:paraId="24AA33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12" w:type="pct"/>
                  <w:vMerge w:val="continue"/>
                  <w:vAlign w:val="center"/>
                </w:tcPr>
                <w:p w14:paraId="609A237E">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73" w:type="pct"/>
                  <w:vAlign w:val="center"/>
                </w:tcPr>
                <w:p w14:paraId="55C161B9">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NH</w:t>
                  </w:r>
                  <w:r>
                    <w:rPr>
                      <w:rFonts w:hint="default"/>
                      <w:color w:val="auto"/>
                      <w:sz w:val="21"/>
                      <w:szCs w:val="21"/>
                      <w:highlight w:val="none"/>
                      <w:vertAlign w:val="subscript"/>
                      <w:lang w:val="en-US" w:eastAsia="zh-CN"/>
                    </w:rPr>
                    <w:t>3</w:t>
                  </w:r>
                  <w:r>
                    <w:rPr>
                      <w:rFonts w:hint="default"/>
                      <w:color w:val="auto"/>
                      <w:sz w:val="21"/>
                      <w:szCs w:val="21"/>
                      <w:highlight w:val="none"/>
                      <w:lang w:val="en-US" w:eastAsia="zh-CN"/>
                    </w:rPr>
                    <w:t>-N</w:t>
                  </w:r>
                </w:p>
              </w:tc>
              <w:tc>
                <w:tcPr>
                  <w:tcW w:w="984" w:type="dxa"/>
                  <w:vAlign w:val="center"/>
                </w:tcPr>
                <w:p w14:paraId="785E286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w:t>
                  </w:r>
                </w:p>
              </w:tc>
              <w:tc>
                <w:tcPr>
                  <w:tcW w:w="937" w:type="dxa"/>
                  <w:vAlign w:val="center"/>
                </w:tcPr>
                <w:p w14:paraId="5C02EEB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0.0018 </w:t>
                  </w:r>
                </w:p>
              </w:tc>
              <w:tc>
                <w:tcPr>
                  <w:tcW w:w="538" w:type="pct"/>
                  <w:vMerge w:val="continue"/>
                  <w:vAlign w:val="center"/>
                </w:tcPr>
                <w:p w14:paraId="37115943">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13" w:type="pct"/>
                  <w:vAlign w:val="center"/>
                </w:tcPr>
                <w:p w14:paraId="576A1579">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w:t>
                  </w:r>
                </w:p>
              </w:tc>
              <w:tc>
                <w:tcPr>
                  <w:tcW w:w="848" w:type="dxa"/>
                  <w:vAlign w:val="center"/>
                </w:tcPr>
                <w:p w14:paraId="04E1E4D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978" w:type="dxa"/>
                  <w:vAlign w:val="center"/>
                </w:tcPr>
                <w:p w14:paraId="125D3DA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0.0003 </w:t>
                  </w:r>
                </w:p>
              </w:tc>
              <w:tc>
                <w:tcPr>
                  <w:tcW w:w="613" w:type="pct"/>
                  <w:vMerge w:val="continue"/>
                  <w:vAlign w:val="center"/>
                </w:tcPr>
                <w:p w14:paraId="4E9062EF">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r>
            <w:tr w14:paraId="4CFD55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12" w:type="pct"/>
                  <w:vMerge w:val="continue"/>
                  <w:vAlign w:val="center"/>
                </w:tcPr>
                <w:p w14:paraId="058C7983">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73" w:type="pct"/>
                  <w:vAlign w:val="center"/>
                </w:tcPr>
                <w:p w14:paraId="6632D2FC">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TP</w:t>
                  </w:r>
                </w:p>
              </w:tc>
              <w:tc>
                <w:tcPr>
                  <w:tcW w:w="984" w:type="dxa"/>
                  <w:vAlign w:val="center"/>
                </w:tcPr>
                <w:p w14:paraId="26A2373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937" w:type="dxa"/>
                  <w:vAlign w:val="center"/>
                </w:tcPr>
                <w:p w14:paraId="36298DF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0.0003</w:t>
                  </w:r>
                </w:p>
              </w:tc>
              <w:tc>
                <w:tcPr>
                  <w:tcW w:w="538" w:type="pct"/>
                  <w:vMerge w:val="continue"/>
                  <w:vAlign w:val="center"/>
                </w:tcPr>
                <w:p w14:paraId="3BCE4056">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13" w:type="pct"/>
                  <w:vAlign w:val="center"/>
                </w:tcPr>
                <w:p w14:paraId="744F8618">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w:t>
                  </w:r>
                  <w:r>
                    <w:rPr>
                      <w:rFonts w:hint="eastAsia" w:cs="Times New Roman"/>
                      <w:color w:val="auto"/>
                      <w:sz w:val="21"/>
                      <w:szCs w:val="21"/>
                      <w:highlight w:val="none"/>
                      <w:lang w:val="en-US" w:eastAsia="zh-CN"/>
                    </w:rPr>
                    <w:t>P</w:t>
                  </w:r>
                </w:p>
              </w:tc>
              <w:tc>
                <w:tcPr>
                  <w:tcW w:w="848" w:type="dxa"/>
                  <w:vAlign w:val="center"/>
                </w:tcPr>
                <w:p w14:paraId="158BA97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w:t>
                  </w:r>
                </w:p>
              </w:tc>
              <w:tc>
                <w:tcPr>
                  <w:tcW w:w="978" w:type="dxa"/>
                  <w:vAlign w:val="center"/>
                </w:tcPr>
                <w:p w14:paraId="7C07C1F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0.00003 </w:t>
                  </w:r>
                </w:p>
              </w:tc>
              <w:tc>
                <w:tcPr>
                  <w:tcW w:w="613" w:type="pct"/>
                  <w:vMerge w:val="continue"/>
                  <w:vAlign w:val="center"/>
                </w:tcPr>
                <w:p w14:paraId="3481A345">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r>
            <w:tr w14:paraId="790BC0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512" w:type="pct"/>
                  <w:vMerge w:val="continue"/>
                  <w:vAlign w:val="center"/>
                </w:tcPr>
                <w:p w14:paraId="69B19A63">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73" w:type="pct"/>
                  <w:vAlign w:val="center"/>
                </w:tcPr>
                <w:p w14:paraId="21C2A9C5">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TN</w:t>
                  </w:r>
                </w:p>
              </w:tc>
              <w:tc>
                <w:tcPr>
                  <w:tcW w:w="984" w:type="dxa"/>
                  <w:vAlign w:val="center"/>
                </w:tcPr>
                <w:p w14:paraId="15BA8FB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937" w:type="dxa"/>
                  <w:vAlign w:val="center"/>
                </w:tcPr>
                <w:p w14:paraId="0E73051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0.003</w:t>
                  </w:r>
                </w:p>
              </w:tc>
              <w:tc>
                <w:tcPr>
                  <w:tcW w:w="538" w:type="pct"/>
                  <w:vMerge w:val="continue"/>
                  <w:vAlign w:val="center"/>
                </w:tcPr>
                <w:p w14:paraId="0F0D7360">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c>
                <w:tcPr>
                  <w:tcW w:w="513" w:type="pct"/>
                  <w:vAlign w:val="center"/>
                </w:tcPr>
                <w:p w14:paraId="7B34D108">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w:t>
                  </w:r>
                  <w:r>
                    <w:rPr>
                      <w:rFonts w:hint="eastAsia" w:cs="Times New Roman"/>
                      <w:color w:val="auto"/>
                      <w:sz w:val="21"/>
                      <w:szCs w:val="21"/>
                      <w:highlight w:val="none"/>
                      <w:lang w:val="en-US" w:eastAsia="zh-CN"/>
                    </w:rPr>
                    <w:t>N</w:t>
                  </w:r>
                </w:p>
              </w:tc>
              <w:tc>
                <w:tcPr>
                  <w:tcW w:w="848" w:type="dxa"/>
                  <w:vAlign w:val="center"/>
                </w:tcPr>
                <w:p w14:paraId="096CB60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978" w:type="dxa"/>
                  <w:vAlign w:val="center"/>
                </w:tcPr>
                <w:p w14:paraId="7167890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0.00075</w:t>
                  </w:r>
                </w:p>
              </w:tc>
              <w:tc>
                <w:tcPr>
                  <w:tcW w:w="613" w:type="pct"/>
                  <w:vMerge w:val="continue"/>
                  <w:vAlign w:val="center"/>
                </w:tcPr>
                <w:p w14:paraId="76686F08">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宋体" w:cs="Times New Roman"/>
                      <w:color w:val="auto"/>
                      <w:sz w:val="21"/>
                      <w:szCs w:val="21"/>
                      <w:highlight w:val="none"/>
                      <w:lang w:val="en-US" w:eastAsia="zh-CN"/>
                    </w:rPr>
                  </w:pPr>
                </w:p>
              </w:tc>
            </w:tr>
          </w:tbl>
          <w:p w14:paraId="398E3005">
            <w:pPr>
              <w:numPr>
                <w:ilvl w:val="0"/>
                <w:numId w:val="0"/>
              </w:numPr>
              <w:spacing w:line="480" w:lineRule="exact"/>
              <w:ind w:left="0" w:leftChars="0" w:firstLine="482" w:firstLineChars="200"/>
              <w:contextualSpacing/>
              <w:jc w:val="left"/>
              <w:rPr>
                <w:rFonts w:hint="eastAsia"/>
                <w:b/>
                <w:color w:val="auto"/>
                <w:sz w:val="24"/>
                <w:highlight w:val="none"/>
              </w:rPr>
            </w:pPr>
            <w:r>
              <w:rPr>
                <w:rFonts w:hint="eastAsia" w:ascii="Times New Roman" w:hAnsi="Times New Roman" w:eastAsia="宋体" w:cs="Times New Roman"/>
                <w:b/>
                <w:color w:val="auto"/>
                <w:kern w:val="2"/>
                <w:sz w:val="24"/>
                <w:szCs w:val="24"/>
                <w:highlight w:val="none"/>
                <w:lang w:val="en-US" w:eastAsia="zh-CN" w:bidi="ar-SA"/>
              </w:rPr>
              <w:t>（</w:t>
            </w:r>
            <w:r>
              <w:rPr>
                <w:rFonts w:hint="eastAsia" w:cs="Times New Roman"/>
                <w:b/>
                <w:color w:val="auto"/>
                <w:kern w:val="2"/>
                <w:sz w:val="24"/>
                <w:szCs w:val="24"/>
                <w:highlight w:val="none"/>
                <w:lang w:val="en-US" w:eastAsia="zh-CN" w:bidi="ar-SA"/>
              </w:rPr>
              <w:t>2</w:t>
            </w:r>
            <w:r>
              <w:rPr>
                <w:rFonts w:hint="eastAsia" w:ascii="Times New Roman" w:hAnsi="Times New Roman" w:eastAsia="宋体" w:cs="Times New Roman"/>
                <w:b/>
                <w:color w:val="auto"/>
                <w:kern w:val="2"/>
                <w:sz w:val="24"/>
                <w:szCs w:val="24"/>
                <w:highlight w:val="none"/>
                <w:lang w:val="en-US" w:eastAsia="zh-CN" w:bidi="ar-SA"/>
              </w:rPr>
              <w:t>）</w:t>
            </w:r>
            <w:r>
              <w:rPr>
                <w:rFonts w:hint="eastAsia"/>
                <w:b/>
                <w:color w:val="auto"/>
                <w:sz w:val="24"/>
                <w:highlight w:val="none"/>
              </w:rPr>
              <w:t>排污口基本情况</w:t>
            </w:r>
          </w:p>
          <w:p w14:paraId="44A91E3B">
            <w:pPr>
              <w:spacing w:line="480" w:lineRule="exact"/>
              <w:ind w:firstLine="480" w:firstLineChars="200"/>
              <w:contextualSpacing/>
              <w:jc w:val="left"/>
              <w:rPr>
                <w:rFonts w:hint="eastAsia"/>
                <w:bCs/>
                <w:color w:val="auto"/>
                <w:sz w:val="24"/>
                <w:highlight w:val="none"/>
              </w:rPr>
            </w:pPr>
            <w:r>
              <w:rPr>
                <w:rFonts w:hint="eastAsia"/>
                <w:bCs/>
                <w:color w:val="auto"/>
                <w:sz w:val="24"/>
                <w:highlight w:val="none"/>
              </w:rPr>
              <w:t>废水排放口基本情况见下表：</w:t>
            </w:r>
          </w:p>
          <w:p w14:paraId="2A3AFA0D">
            <w:pPr>
              <w:pStyle w:val="52"/>
              <w:bidi w:val="0"/>
              <w:ind w:left="5518" w:leftChars="0" w:hanging="5518" w:firstLineChars="0"/>
              <w:rPr>
                <w:rFonts w:hint="default"/>
                <w:color w:val="auto"/>
              </w:rPr>
            </w:pPr>
            <w:r>
              <w:rPr>
                <w:rFonts w:hint="default"/>
                <w:color w:val="auto"/>
              </w:rPr>
              <w:t>废水类别、污染物及污染治理设施信息表</w:t>
            </w:r>
          </w:p>
          <w:tbl>
            <w:tblPr>
              <w:tblStyle w:val="33"/>
              <w:tblW w:w="4989"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341"/>
              <w:gridCol w:w="482"/>
              <w:gridCol w:w="861"/>
              <w:gridCol w:w="1018"/>
              <w:gridCol w:w="613"/>
              <w:gridCol w:w="608"/>
              <w:gridCol w:w="800"/>
              <w:gridCol w:w="718"/>
              <w:gridCol w:w="867"/>
              <w:gridCol w:w="508"/>
              <w:gridCol w:w="757"/>
              <w:gridCol w:w="744"/>
            </w:tblGrid>
            <w:tr w14:paraId="71582F4E">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95" w:hRule="atLeast"/>
                <w:jc w:val="center"/>
              </w:trPr>
              <w:tc>
                <w:tcPr>
                  <w:tcW w:w="205" w:type="pct"/>
                  <w:vMerge w:val="restart"/>
                  <w:vAlign w:val="center"/>
                </w:tcPr>
                <w:p w14:paraId="7DE9F6F6">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序号</w:t>
                  </w:r>
                </w:p>
              </w:tc>
              <w:tc>
                <w:tcPr>
                  <w:tcW w:w="289" w:type="pct"/>
                  <w:vMerge w:val="restart"/>
                  <w:vAlign w:val="center"/>
                </w:tcPr>
                <w:p w14:paraId="0269D457">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废水类别</w:t>
                  </w:r>
                </w:p>
              </w:tc>
              <w:tc>
                <w:tcPr>
                  <w:tcW w:w="517" w:type="pct"/>
                  <w:vMerge w:val="restart"/>
                  <w:vAlign w:val="center"/>
                </w:tcPr>
                <w:p w14:paraId="10983D08">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产生工序</w:t>
                  </w:r>
                </w:p>
              </w:tc>
              <w:tc>
                <w:tcPr>
                  <w:tcW w:w="611" w:type="pct"/>
                  <w:vMerge w:val="restart"/>
                  <w:vAlign w:val="center"/>
                </w:tcPr>
                <w:p w14:paraId="05711BE3">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污染物种类</w:t>
                  </w:r>
                </w:p>
              </w:tc>
              <w:tc>
                <w:tcPr>
                  <w:tcW w:w="368" w:type="pct"/>
                  <w:vMerge w:val="restart"/>
                  <w:vAlign w:val="center"/>
                </w:tcPr>
                <w:p w14:paraId="09478D6B">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排放去向</w:t>
                  </w:r>
                </w:p>
              </w:tc>
              <w:tc>
                <w:tcPr>
                  <w:tcW w:w="365" w:type="pct"/>
                  <w:vMerge w:val="restart"/>
                  <w:vAlign w:val="center"/>
                </w:tcPr>
                <w:p w14:paraId="0754F9FF">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排放规律</w:t>
                  </w:r>
                </w:p>
              </w:tc>
              <w:tc>
                <w:tcPr>
                  <w:tcW w:w="1433" w:type="pct"/>
                  <w:gridSpan w:val="3"/>
                  <w:vAlign w:val="center"/>
                </w:tcPr>
                <w:p w14:paraId="6DF216B8">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污染治理设施</w:t>
                  </w:r>
                </w:p>
              </w:tc>
              <w:tc>
                <w:tcPr>
                  <w:tcW w:w="305" w:type="pct"/>
                  <w:vMerge w:val="restart"/>
                  <w:vAlign w:val="center"/>
                </w:tcPr>
                <w:p w14:paraId="01F41134">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排放口编号</w:t>
                  </w:r>
                </w:p>
              </w:tc>
              <w:tc>
                <w:tcPr>
                  <w:tcW w:w="455" w:type="pct"/>
                  <w:vMerge w:val="restart"/>
                  <w:vAlign w:val="center"/>
                </w:tcPr>
                <w:p w14:paraId="506B2D19">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排放口设置是否符合要求</w:t>
                  </w:r>
                </w:p>
              </w:tc>
              <w:tc>
                <w:tcPr>
                  <w:tcW w:w="447" w:type="pct"/>
                  <w:vMerge w:val="restart"/>
                  <w:vAlign w:val="center"/>
                </w:tcPr>
                <w:p w14:paraId="4C9C03EF">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排放口类型</w:t>
                  </w:r>
                </w:p>
              </w:tc>
            </w:tr>
            <w:tr w14:paraId="74E4491B">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205" w:type="pct"/>
                  <w:vMerge w:val="continue"/>
                  <w:vAlign w:val="center"/>
                </w:tcPr>
                <w:p w14:paraId="66F0E3F2">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p>
              </w:tc>
              <w:tc>
                <w:tcPr>
                  <w:tcW w:w="289" w:type="pct"/>
                  <w:vMerge w:val="continue"/>
                  <w:vAlign w:val="center"/>
                </w:tcPr>
                <w:p w14:paraId="16D1E280">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p>
              </w:tc>
              <w:tc>
                <w:tcPr>
                  <w:tcW w:w="517" w:type="pct"/>
                  <w:vMerge w:val="continue"/>
                  <w:vAlign w:val="center"/>
                </w:tcPr>
                <w:p w14:paraId="09CF5E1E">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p>
              </w:tc>
              <w:tc>
                <w:tcPr>
                  <w:tcW w:w="611" w:type="pct"/>
                  <w:vMerge w:val="continue"/>
                  <w:vAlign w:val="center"/>
                </w:tcPr>
                <w:p w14:paraId="188773B4">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p>
              </w:tc>
              <w:tc>
                <w:tcPr>
                  <w:tcW w:w="368" w:type="pct"/>
                  <w:vMerge w:val="continue"/>
                  <w:vAlign w:val="center"/>
                </w:tcPr>
                <w:p w14:paraId="6F685D95">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p>
              </w:tc>
              <w:tc>
                <w:tcPr>
                  <w:tcW w:w="365" w:type="pct"/>
                  <w:vMerge w:val="continue"/>
                  <w:vAlign w:val="center"/>
                </w:tcPr>
                <w:p w14:paraId="192798E1">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p>
              </w:tc>
              <w:tc>
                <w:tcPr>
                  <w:tcW w:w="480" w:type="pct"/>
                  <w:vAlign w:val="center"/>
                </w:tcPr>
                <w:p w14:paraId="12F92961">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污染治理设施编号</w:t>
                  </w:r>
                </w:p>
              </w:tc>
              <w:tc>
                <w:tcPr>
                  <w:tcW w:w="431" w:type="pct"/>
                  <w:vAlign w:val="center"/>
                </w:tcPr>
                <w:p w14:paraId="0655E3D3">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污染治理设施名称</w:t>
                  </w:r>
                </w:p>
              </w:tc>
              <w:tc>
                <w:tcPr>
                  <w:tcW w:w="521" w:type="pct"/>
                  <w:vAlign w:val="center"/>
                </w:tcPr>
                <w:p w14:paraId="78A89A9C">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污染治理设施工艺</w:t>
                  </w:r>
                </w:p>
              </w:tc>
              <w:tc>
                <w:tcPr>
                  <w:tcW w:w="305" w:type="pct"/>
                  <w:vMerge w:val="continue"/>
                  <w:vAlign w:val="center"/>
                </w:tcPr>
                <w:p w14:paraId="4676B98A">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color w:val="auto"/>
                      <w:sz w:val="21"/>
                      <w:szCs w:val="21"/>
                      <w:highlight w:val="none"/>
                    </w:rPr>
                  </w:pPr>
                </w:p>
              </w:tc>
              <w:tc>
                <w:tcPr>
                  <w:tcW w:w="455" w:type="pct"/>
                  <w:vMerge w:val="continue"/>
                  <w:vAlign w:val="center"/>
                </w:tcPr>
                <w:p w14:paraId="40C3C006">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color w:val="auto"/>
                      <w:sz w:val="21"/>
                      <w:szCs w:val="21"/>
                      <w:highlight w:val="none"/>
                    </w:rPr>
                  </w:pPr>
                </w:p>
              </w:tc>
              <w:tc>
                <w:tcPr>
                  <w:tcW w:w="447" w:type="pct"/>
                  <w:vMerge w:val="continue"/>
                  <w:vAlign w:val="center"/>
                </w:tcPr>
                <w:p w14:paraId="468316EC">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color w:val="auto"/>
                      <w:sz w:val="21"/>
                      <w:szCs w:val="21"/>
                      <w:highlight w:val="none"/>
                    </w:rPr>
                  </w:pPr>
                </w:p>
              </w:tc>
            </w:tr>
            <w:tr w14:paraId="75ACE29E">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31" w:hRule="atLeast"/>
                <w:jc w:val="center"/>
              </w:trPr>
              <w:tc>
                <w:tcPr>
                  <w:tcW w:w="205" w:type="pct"/>
                  <w:vAlign w:val="center"/>
                </w:tcPr>
                <w:p w14:paraId="56910CB2">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289" w:type="pct"/>
                  <w:shd w:val="clear" w:color="auto" w:fill="auto"/>
                  <w:vAlign w:val="center"/>
                </w:tcPr>
                <w:p w14:paraId="14E19A51">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生活污水</w:t>
                  </w:r>
                </w:p>
              </w:tc>
              <w:tc>
                <w:tcPr>
                  <w:tcW w:w="517" w:type="pct"/>
                  <w:vAlign w:val="center"/>
                </w:tcPr>
                <w:p w14:paraId="3F8C0CC6">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办公生活</w:t>
                  </w:r>
                </w:p>
              </w:tc>
              <w:tc>
                <w:tcPr>
                  <w:tcW w:w="611" w:type="pct"/>
                  <w:vAlign w:val="center"/>
                </w:tcPr>
                <w:p w14:paraId="77947383">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color w:val="auto"/>
                      <w:sz w:val="21"/>
                      <w:szCs w:val="21"/>
                      <w:highlight w:val="none"/>
                    </w:rPr>
                  </w:pPr>
                  <w:r>
                    <w:rPr>
                      <w:color w:val="auto"/>
                      <w:sz w:val="21"/>
                      <w:szCs w:val="21"/>
                      <w:highlight w:val="none"/>
                    </w:rPr>
                    <w:t>COD、SS、NH</w:t>
                  </w:r>
                  <w:r>
                    <w:rPr>
                      <w:color w:val="auto"/>
                      <w:sz w:val="21"/>
                      <w:szCs w:val="21"/>
                      <w:highlight w:val="none"/>
                      <w:vertAlign w:val="subscript"/>
                    </w:rPr>
                    <w:t>3</w:t>
                  </w:r>
                  <w:r>
                    <w:rPr>
                      <w:color w:val="auto"/>
                      <w:sz w:val="21"/>
                      <w:szCs w:val="21"/>
                      <w:highlight w:val="none"/>
                    </w:rPr>
                    <w:t>-N、TP</w:t>
                  </w:r>
                  <w:r>
                    <w:rPr>
                      <w:rFonts w:hint="eastAsia"/>
                      <w:color w:val="auto"/>
                      <w:sz w:val="21"/>
                      <w:szCs w:val="21"/>
                      <w:highlight w:val="none"/>
                      <w:lang w:eastAsia="zh-CN"/>
                    </w:rPr>
                    <w:t>、</w:t>
                  </w:r>
                  <w:r>
                    <w:rPr>
                      <w:rFonts w:hint="eastAsia"/>
                      <w:color w:val="auto"/>
                      <w:sz w:val="21"/>
                      <w:szCs w:val="21"/>
                      <w:highlight w:val="none"/>
                      <w:lang w:val="en-US" w:eastAsia="zh-CN"/>
                    </w:rPr>
                    <w:t>TN</w:t>
                  </w:r>
                </w:p>
              </w:tc>
              <w:tc>
                <w:tcPr>
                  <w:tcW w:w="368" w:type="pct"/>
                  <w:vAlign w:val="center"/>
                </w:tcPr>
                <w:p w14:paraId="13F71957">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空港</w:t>
                  </w:r>
                  <w:r>
                    <w:rPr>
                      <w:rFonts w:hint="eastAsia"/>
                      <w:color w:val="auto"/>
                      <w:sz w:val="21"/>
                      <w:szCs w:val="21"/>
                      <w:highlight w:val="none"/>
                      <w:lang w:eastAsia="zh-CN"/>
                    </w:rPr>
                    <w:t>污水处理厂</w:t>
                  </w:r>
                </w:p>
              </w:tc>
              <w:tc>
                <w:tcPr>
                  <w:tcW w:w="365" w:type="pct"/>
                  <w:vAlign w:val="center"/>
                </w:tcPr>
                <w:p w14:paraId="2466522F">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间断排放，排放期间流量稳定</w:t>
                  </w:r>
                </w:p>
              </w:tc>
              <w:tc>
                <w:tcPr>
                  <w:tcW w:w="480" w:type="pct"/>
                  <w:vAlign w:val="center"/>
                </w:tcPr>
                <w:p w14:paraId="6437BC0E">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TW001</w:t>
                  </w:r>
                </w:p>
              </w:tc>
              <w:tc>
                <w:tcPr>
                  <w:tcW w:w="431" w:type="pct"/>
                  <w:vAlign w:val="center"/>
                </w:tcPr>
                <w:p w14:paraId="70544118">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color w:val="auto"/>
                      <w:sz w:val="21"/>
                      <w:szCs w:val="21"/>
                      <w:highlight w:val="none"/>
                      <w:lang w:val="en-US"/>
                    </w:rPr>
                  </w:pPr>
                  <w:r>
                    <w:rPr>
                      <w:rFonts w:hint="eastAsia"/>
                      <w:color w:val="auto"/>
                      <w:sz w:val="21"/>
                      <w:szCs w:val="21"/>
                      <w:highlight w:val="none"/>
                      <w:lang w:val="en-US" w:eastAsia="zh-CN"/>
                    </w:rPr>
                    <w:t>化粪池</w:t>
                  </w:r>
                </w:p>
              </w:tc>
              <w:tc>
                <w:tcPr>
                  <w:tcW w:w="521" w:type="pct"/>
                  <w:vAlign w:val="center"/>
                </w:tcPr>
                <w:p w14:paraId="72C77207">
                  <w:pPr>
                    <w:pStyle w:val="48"/>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厌氧</w:t>
                  </w:r>
                </w:p>
              </w:tc>
              <w:tc>
                <w:tcPr>
                  <w:tcW w:w="305" w:type="pct"/>
                  <w:vAlign w:val="center"/>
                </w:tcPr>
                <w:p w14:paraId="4786F974">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DW001</w:t>
                  </w:r>
                </w:p>
              </w:tc>
              <w:tc>
                <w:tcPr>
                  <w:tcW w:w="455" w:type="pct"/>
                  <w:vAlign w:val="center"/>
                </w:tcPr>
                <w:p w14:paraId="636CD7A5">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color w:val="auto"/>
                      <w:sz w:val="21"/>
                      <w:szCs w:val="21"/>
                      <w:highlight w:val="none"/>
                      <w:lang w:val="en-US" w:eastAsia="zh-CN"/>
                    </w:rPr>
                  </w:pPr>
                  <w:r>
                    <w:rPr>
                      <w:rFonts w:hint="eastAsia"/>
                      <w:color w:val="auto"/>
                      <w:sz w:val="21"/>
                      <w:szCs w:val="21"/>
                      <w:highlight w:val="none"/>
                      <w:lang w:val="en-US" w:eastAsia="zh-CN"/>
                    </w:rPr>
                    <w:t>是</w:t>
                  </w:r>
                </w:p>
              </w:tc>
              <w:tc>
                <w:tcPr>
                  <w:tcW w:w="447" w:type="pct"/>
                  <w:vAlign w:val="center"/>
                </w:tcPr>
                <w:p w14:paraId="555CEA0D">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√企业总排</w:t>
                  </w:r>
                </w:p>
                <w:p w14:paraId="1DD0326F">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□雨水排放</w:t>
                  </w:r>
                </w:p>
                <w:p w14:paraId="7977BA6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□清净下水排放</w:t>
                  </w:r>
                </w:p>
                <w:p w14:paraId="04F38900">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□温排水排放</w:t>
                  </w:r>
                </w:p>
                <w:p w14:paraId="76A2BA91">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□车间或车间处理设施排放口</w:t>
                  </w:r>
                </w:p>
              </w:tc>
            </w:tr>
          </w:tbl>
          <w:p w14:paraId="2F8D9C76">
            <w:pPr>
              <w:pStyle w:val="52"/>
              <w:numPr>
                <w:ilvl w:val="-1"/>
                <w:numId w:val="0"/>
              </w:numPr>
              <w:bidi w:val="0"/>
              <w:ind w:left="0" w:leftChars="0" w:firstLine="0" w:firstLineChars="0"/>
              <w:jc w:val="both"/>
              <w:rPr>
                <w:rFonts w:hint="default"/>
                <w:color w:val="auto"/>
              </w:rPr>
            </w:pPr>
          </w:p>
          <w:p w14:paraId="79FB53A6">
            <w:pPr>
              <w:pStyle w:val="52"/>
              <w:bidi w:val="0"/>
              <w:ind w:left="5518" w:leftChars="0" w:hanging="5518" w:firstLineChars="0"/>
              <w:rPr>
                <w:rFonts w:hint="default"/>
                <w:color w:val="auto"/>
              </w:rPr>
            </w:pPr>
            <w:r>
              <w:rPr>
                <w:rFonts w:hint="default"/>
                <w:color w:val="auto"/>
              </w:rPr>
              <w:t>废水间接排放口基本情况表</w:t>
            </w:r>
          </w:p>
          <w:tbl>
            <w:tblPr>
              <w:tblStyle w:val="33"/>
              <w:tblW w:w="4928"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fixed"/>
              <w:tblCellMar>
                <w:top w:w="0" w:type="dxa"/>
                <w:left w:w="0" w:type="dxa"/>
                <w:bottom w:w="0" w:type="dxa"/>
                <w:right w:w="0" w:type="dxa"/>
              </w:tblCellMar>
            </w:tblPr>
            <w:tblGrid>
              <w:gridCol w:w="237"/>
              <w:gridCol w:w="765"/>
              <w:gridCol w:w="867"/>
              <w:gridCol w:w="827"/>
              <w:gridCol w:w="740"/>
              <w:gridCol w:w="671"/>
              <w:gridCol w:w="854"/>
              <w:gridCol w:w="521"/>
              <w:gridCol w:w="775"/>
              <w:gridCol w:w="786"/>
              <w:gridCol w:w="1173"/>
            </w:tblGrid>
            <w:tr w14:paraId="7323367C">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44" w:type="pct"/>
                  <w:vMerge w:val="restart"/>
                  <w:vAlign w:val="center"/>
                </w:tcPr>
                <w:p w14:paraId="7FEAA092">
                  <w:pPr>
                    <w:pStyle w:val="48"/>
                    <w:rPr>
                      <w:b/>
                      <w:bCs/>
                      <w:color w:val="auto"/>
                      <w:highlight w:val="none"/>
                    </w:rPr>
                  </w:pPr>
                  <w:r>
                    <w:rPr>
                      <w:b/>
                      <w:bCs/>
                      <w:color w:val="auto"/>
                      <w:highlight w:val="none"/>
                    </w:rPr>
                    <w:t>序号</w:t>
                  </w:r>
                </w:p>
              </w:tc>
              <w:tc>
                <w:tcPr>
                  <w:tcW w:w="465" w:type="pct"/>
                  <w:vMerge w:val="restart"/>
                  <w:vAlign w:val="center"/>
                </w:tcPr>
                <w:p w14:paraId="2A453DB3">
                  <w:pPr>
                    <w:pStyle w:val="48"/>
                    <w:rPr>
                      <w:b/>
                      <w:bCs/>
                      <w:color w:val="auto"/>
                      <w:highlight w:val="none"/>
                    </w:rPr>
                  </w:pPr>
                  <w:r>
                    <w:rPr>
                      <w:b/>
                      <w:bCs/>
                      <w:color w:val="auto"/>
                      <w:highlight w:val="none"/>
                    </w:rPr>
                    <w:t>排放口编号</w:t>
                  </w:r>
                </w:p>
              </w:tc>
              <w:tc>
                <w:tcPr>
                  <w:tcW w:w="1030" w:type="pct"/>
                  <w:gridSpan w:val="2"/>
                  <w:vAlign w:val="center"/>
                </w:tcPr>
                <w:p w14:paraId="1D1F4115">
                  <w:pPr>
                    <w:pStyle w:val="48"/>
                    <w:rPr>
                      <w:b/>
                      <w:bCs/>
                      <w:color w:val="auto"/>
                      <w:highlight w:val="none"/>
                    </w:rPr>
                  </w:pPr>
                  <w:r>
                    <w:rPr>
                      <w:b/>
                      <w:bCs/>
                      <w:color w:val="auto"/>
                      <w:highlight w:val="none"/>
                    </w:rPr>
                    <w:t>排放口地理位置</w:t>
                  </w:r>
                </w:p>
              </w:tc>
              <w:tc>
                <w:tcPr>
                  <w:tcW w:w="450" w:type="pct"/>
                  <w:vMerge w:val="restart"/>
                  <w:vAlign w:val="center"/>
                </w:tcPr>
                <w:p w14:paraId="608BFEEB">
                  <w:pPr>
                    <w:pStyle w:val="48"/>
                    <w:rPr>
                      <w:b/>
                      <w:bCs/>
                      <w:color w:val="auto"/>
                      <w:highlight w:val="none"/>
                    </w:rPr>
                  </w:pPr>
                  <w:r>
                    <w:rPr>
                      <w:b/>
                      <w:bCs/>
                      <w:color w:val="auto"/>
                      <w:highlight w:val="none"/>
                    </w:rPr>
                    <w:t>废水排放量（t/a）</w:t>
                  </w:r>
                </w:p>
              </w:tc>
              <w:tc>
                <w:tcPr>
                  <w:tcW w:w="408" w:type="pct"/>
                  <w:vMerge w:val="restart"/>
                  <w:vAlign w:val="center"/>
                </w:tcPr>
                <w:p w14:paraId="7BACB5E4">
                  <w:pPr>
                    <w:pStyle w:val="48"/>
                    <w:rPr>
                      <w:b/>
                      <w:bCs/>
                      <w:color w:val="auto"/>
                      <w:highlight w:val="none"/>
                    </w:rPr>
                  </w:pPr>
                  <w:r>
                    <w:rPr>
                      <w:b/>
                      <w:bCs/>
                      <w:color w:val="auto"/>
                      <w:highlight w:val="none"/>
                    </w:rPr>
                    <w:t>排放去向</w:t>
                  </w:r>
                </w:p>
              </w:tc>
              <w:tc>
                <w:tcPr>
                  <w:tcW w:w="519" w:type="pct"/>
                  <w:vMerge w:val="restart"/>
                  <w:vAlign w:val="center"/>
                </w:tcPr>
                <w:p w14:paraId="7555D16E">
                  <w:pPr>
                    <w:pStyle w:val="48"/>
                    <w:tabs>
                      <w:tab w:val="left" w:pos="0"/>
                    </w:tabs>
                    <w:ind w:firstLine="0" w:firstLineChars="0"/>
                    <w:rPr>
                      <w:b/>
                      <w:bCs/>
                      <w:color w:val="auto"/>
                      <w:highlight w:val="none"/>
                    </w:rPr>
                  </w:pPr>
                  <w:r>
                    <w:rPr>
                      <w:rFonts w:hint="eastAsia"/>
                      <w:b/>
                      <w:bCs/>
                      <w:color w:val="auto"/>
                    </w:rPr>
                    <w:t>排放规律</w:t>
                  </w:r>
                </w:p>
              </w:tc>
              <w:tc>
                <w:tcPr>
                  <w:tcW w:w="317" w:type="pct"/>
                  <w:vMerge w:val="restart"/>
                  <w:vAlign w:val="center"/>
                </w:tcPr>
                <w:p w14:paraId="3D469B4E">
                  <w:pPr>
                    <w:pStyle w:val="48"/>
                    <w:tabs>
                      <w:tab w:val="left" w:pos="0"/>
                    </w:tabs>
                    <w:ind w:firstLine="0" w:firstLineChars="0"/>
                    <w:rPr>
                      <w:b/>
                      <w:bCs/>
                      <w:color w:val="auto"/>
                      <w:highlight w:val="none"/>
                    </w:rPr>
                  </w:pPr>
                  <w:r>
                    <w:rPr>
                      <w:rFonts w:hint="eastAsia"/>
                      <w:b/>
                      <w:bCs/>
                      <w:color w:val="auto"/>
                    </w:rPr>
                    <w:t>间歇排放时段</w:t>
                  </w:r>
                </w:p>
              </w:tc>
              <w:tc>
                <w:tcPr>
                  <w:tcW w:w="1663" w:type="pct"/>
                  <w:gridSpan w:val="3"/>
                  <w:vAlign w:val="center"/>
                </w:tcPr>
                <w:p w14:paraId="3C1BBC38">
                  <w:pPr>
                    <w:pStyle w:val="48"/>
                    <w:rPr>
                      <w:b/>
                      <w:bCs/>
                      <w:color w:val="auto"/>
                      <w:highlight w:val="none"/>
                    </w:rPr>
                  </w:pPr>
                  <w:r>
                    <w:rPr>
                      <w:b/>
                      <w:bCs/>
                      <w:color w:val="auto"/>
                      <w:highlight w:val="none"/>
                    </w:rPr>
                    <w:t>受纳污水处理厂信息</w:t>
                  </w:r>
                </w:p>
              </w:tc>
            </w:tr>
            <w:tr w14:paraId="29E54ADC">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146" w:hRule="atLeast"/>
                <w:jc w:val="center"/>
              </w:trPr>
              <w:tc>
                <w:tcPr>
                  <w:tcW w:w="144" w:type="pct"/>
                  <w:vMerge w:val="continue"/>
                  <w:vAlign w:val="center"/>
                </w:tcPr>
                <w:p w14:paraId="7B0CA328">
                  <w:pPr>
                    <w:pStyle w:val="48"/>
                    <w:rPr>
                      <w:b/>
                      <w:bCs/>
                      <w:color w:val="auto"/>
                      <w:highlight w:val="none"/>
                    </w:rPr>
                  </w:pPr>
                </w:p>
              </w:tc>
              <w:tc>
                <w:tcPr>
                  <w:tcW w:w="465" w:type="pct"/>
                  <w:vMerge w:val="continue"/>
                  <w:vAlign w:val="center"/>
                </w:tcPr>
                <w:p w14:paraId="6506EF2C">
                  <w:pPr>
                    <w:pStyle w:val="48"/>
                    <w:rPr>
                      <w:b/>
                      <w:bCs/>
                      <w:color w:val="auto"/>
                      <w:highlight w:val="none"/>
                    </w:rPr>
                  </w:pPr>
                </w:p>
              </w:tc>
              <w:tc>
                <w:tcPr>
                  <w:tcW w:w="527" w:type="pct"/>
                  <w:vAlign w:val="center"/>
                </w:tcPr>
                <w:p w14:paraId="2F8C4FC1">
                  <w:pPr>
                    <w:pStyle w:val="48"/>
                    <w:rPr>
                      <w:rFonts w:hint="eastAsia" w:eastAsia="宋体"/>
                      <w:b/>
                      <w:bCs/>
                      <w:color w:val="auto"/>
                      <w:highlight w:val="none"/>
                      <w:lang w:val="en-US" w:eastAsia="zh-CN"/>
                    </w:rPr>
                  </w:pPr>
                  <w:r>
                    <w:rPr>
                      <w:b/>
                      <w:bCs/>
                      <w:color w:val="auto"/>
                      <w:highlight w:val="none"/>
                    </w:rPr>
                    <w:t>经度</w:t>
                  </w:r>
                  <w:r>
                    <w:rPr>
                      <w:rFonts w:hint="eastAsia"/>
                      <w:b/>
                      <w:bCs/>
                      <w:color w:val="auto"/>
                      <w:highlight w:val="none"/>
                      <w:lang w:val="en-US" w:eastAsia="zh-CN"/>
                    </w:rPr>
                    <w:t>°</w:t>
                  </w:r>
                </w:p>
              </w:tc>
              <w:tc>
                <w:tcPr>
                  <w:tcW w:w="503" w:type="pct"/>
                  <w:vAlign w:val="center"/>
                </w:tcPr>
                <w:p w14:paraId="47DB5EEA">
                  <w:pPr>
                    <w:pStyle w:val="48"/>
                    <w:rPr>
                      <w:b/>
                      <w:bCs/>
                      <w:color w:val="auto"/>
                      <w:highlight w:val="none"/>
                    </w:rPr>
                  </w:pPr>
                  <w:r>
                    <w:rPr>
                      <w:b/>
                      <w:bCs/>
                      <w:color w:val="auto"/>
                      <w:highlight w:val="none"/>
                    </w:rPr>
                    <w:t>纬度</w:t>
                  </w:r>
                  <w:r>
                    <w:rPr>
                      <w:rFonts w:hint="eastAsia"/>
                      <w:b/>
                      <w:bCs/>
                      <w:color w:val="auto"/>
                      <w:highlight w:val="none"/>
                      <w:lang w:val="en-US" w:eastAsia="zh-CN"/>
                    </w:rPr>
                    <w:t>°</w:t>
                  </w:r>
                </w:p>
              </w:tc>
              <w:tc>
                <w:tcPr>
                  <w:tcW w:w="450" w:type="pct"/>
                  <w:vMerge w:val="continue"/>
                  <w:vAlign w:val="center"/>
                </w:tcPr>
                <w:p w14:paraId="41EA297F">
                  <w:pPr>
                    <w:pStyle w:val="48"/>
                    <w:rPr>
                      <w:b/>
                      <w:bCs/>
                      <w:color w:val="auto"/>
                      <w:highlight w:val="none"/>
                    </w:rPr>
                  </w:pPr>
                </w:p>
              </w:tc>
              <w:tc>
                <w:tcPr>
                  <w:tcW w:w="408" w:type="pct"/>
                  <w:vMerge w:val="continue"/>
                  <w:vAlign w:val="center"/>
                </w:tcPr>
                <w:p w14:paraId="031A9D10">
                  <w:pPr>
                    <w:pStyle w:val="48"/>
                    <w:rPr>
                      <w:b/>
                      <w:bCs/>
                      <w:color w:val="auto"/>
                      <w:highlight w:val="none"/>
                    </w:rPr>
                  </w:pPr>
                </w:p>
              </w:tc>
              <w:tc>
                <w:tcPr>
                  <w:tcW w:w="519" w:type="pct"/>
                  <w:vMerge w:val="continue"/>
                  <w:vAlign w:val="center"/>
                </w:tcPr>
                <w:p w14:paraId="4C738391">
                  <w:pPr>
                    <w:pStyle w:val="48"/>
                    <w:rPr>
                      <w:b/>
                      <w:bCs/>
                      <w:color w:val="auto"/>
                      <w:highlight w:val="none"/>
                    </w:rPr>
                  </w:pPr>
                </w:p>
              </w:tc>
              <w:tc>
                <w:tcPr>
                  <w:tcW w:w="317" w:type="pct"/>
                  <w:vMerge w:val="continue"/>
                  <w:vAlign w:val="center"/>
                </w:tcPr>
                <w:p w14:paraId="5958A528">
                  <w:pPr>
                    <w:pStyle w:val="48"/>
                    <w:rPr>
                      <w:b/>
                      <w:bCs/>
                      <w:color w:val="auto"/>
                      <w:highlight w:val="none"/>
                    </w:rPr>
                  </w:pPr>
                </w:p>
              </w:tc>
              <w:tc>
                <w:tcPr>
                  <w:tcW w:w="471" w:type="pct"/>
                  <w:vAlign w:val="center"/>
                </w:tcPr>
                <w:p w14:paraId="492EF5E6">
                  <w:pPr>
                    <w:pStyle w:val="48"/>
                    <w:rPr>
                      <w:b/>
                      <w:bCs/>
                      <w:color w:val="auto"/>
                      <w:highlight w:val="none"/>
                    </w:rPr>
                  </w:pPr>
                  <w:r>
                    <w:rPr>
                      <w:b/>
                      <w:bCs/>
                      <w:color w:val="auto"/>
                      <w:highlight w:val="none"/>
                    </w:rPr>
                    <w:t>名称</w:t>
                  </w:r>
                </w:p>
              </w:tc>
              <w:tc>
                <w:tcPr>
                  <w:tcW w:w="478" w:type="pct"/>
                  <w:vAlign w:val="center"/>
                </w:tcPr>
                <w:p w14:paraId="08ABFBE5">
                  <w:pPr>
                    <w:pStyle w:val="48"/>
                    <w:rPr>
                      <w:b/>
                      <w:bCs/>
                      <w:color w:val="auto"/>
                      <w:highlight w:val="none"/>
                    </w:rPr>
                  </w:pPr>
                  <w:r>
                    <w:rPr>
                      <w:b/>
                      <w:bCs/>
                      <w:color w:val="auto"/>
                      <w:highlight w:val="none"/>
                    </w:rPr>
                    <w:t>污染物</w:t>
                  </w:r>
                </w:p>
                <w:p w14:paraId="292BD331">
                  <w:pPr>
                    <w:pStyle w:val="48"/>
                    <w:rPr>
                      <w:b/>
                      <w:bCs/>
                      <w:color w:val="auto"/>
                      <w:highlight w:val="none"/>
                    </w:rPr>
                  </w:pPr>
                  <w:r>
                    <w:rPr>
                      <w:b/>
                      <w:bCs/>
                      <w:color w:val="auto"/>
                      <w:highlight w:val="none"/>
                    </w:rPr>
                    <w:t>种类</w:t>
                  </w:r>
                </w:p>
              </w:tc>
              <w:tc>
                <w:tcPr>
                  <w:tcW w:w="713" w:type="pct"/>
                  <w:vAlign w:val="center"/>
                </w:tcPr>
                <w:p w14:paraId="377D2B18">
                  <w:pPr>
                    <w:pStyle w:val="48"/>
                    <w:rPr>
                      <w:b/>
                      <w:bCs/>
                      <w:color w:val="auto"/>
                      <w:highlight w:val="none"/>
                    </w:rPr>
                  </w:pPr>
                  <w:r>
                    <w:rPr>
                      <w:b/>
                      <w:bCs/>
                      <w:color w:val="auto"/>
                      <w:highlight w:val="none"/>
                    </w:rPr>
                    <w:t>排放标准限值</w:t>
                  </w:r>
                  <w:r>
                    <w:rPr>
                      <w:rFonts w:hint="eastAsia"/>
                      <w:b/>
                      <w:bCs/>
                      <w:color w:val="auto"/>
                      <w:highlight w:val="none"/>
                      <w:lang w:eastAsia="zh-CN"/>
                    </w:rPr>
                    <w:t>（</w:t>
                  </w:r>
                  <w:r>
                    <w:rPr>
                      <w:b/>
                      <w:bCs/>
                      <w:color w:val="auto"/>
                      <w:highlight w:val="none"/>
                    </w:rPr>
                    <w:t>mg/L）</w:t>
                  </w:r>
                </w:p>
              </w:tc>
            </w:tr>
            <w:tr w14:paraId="7ED29724">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287" w:hRule="atLeast"/>
                <w:jc w:val="center"/>
              </w:trPr>
              <w:tc>
                <w:tcPr>
                  <w:tcW w:w="144" w:type="pct"/>
                  <w:vMerge w:val="restart"/>
                  <w:vAlign w:val="center"/>
                </w:tcPr>
                <w:p w14:paraId="48AE081D">
                  <w:pPr>
                    <w:pStyle w:val="48"/>
                    <w:rPr>
                      <w:color w:val="auto"/>
                      <w:highlight w:val="none"/>
                    </w:rPr>
                  </w:pPr>
                  <w:r>
                    <w:rPr>
                      <w:color w:val="auto"/>
                      <w:highlight w:val="none"/>
                    </w:rPr>
                    <w:t>1</w:t>
                  </w:r>
                </w:p>
              </w:tc>
              <w:tc>
                <w:tcPr>
                  <w:tcW w:w="465" w:type="pct"/>
                  <w:vMerge w:val="restart"/>
                  <w:vAlign w:val="center"/>
                </w:tcPr>
                <w:p w14:paraId="01239664">
                  <w:pPr>
                    <w:pStyle w:val="48"/>
                    <w:rPr>
                      <w:color w:val="auto"/>
                      <w:highlight w:val="none"/>
                    </w:rPr>
                  </w:pPr>
                  <w:r>
                    <w:rPr>
                      <w:color w:val="auto"/>
                      <w:highlight w:val="none"/>
                    </w:rPr>
                    <w:t>DW001</w:t>
                  </w:r>
                </w:p>
              </w:tc>
              <w:tc>
                <w:tcPr>
                  <w:tcW w:w="527" w:type="pct"/>
                  <w:vMerge w:val="restart"/>
                  <w:vAlign w:val="center"/>
                </w:tcPr>
                <w:p w14:paraId="6C03264F">
                  <w:pPr>
                    <w:pStyle w:val="48"/>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118.785509</w:t>
                  </w:r>
                </w:p>
              </w:tc>
              <w:tc>
                <w:tcPr>
                  <w:tcW w:w="503" w:type="pct"/>
                  <w:vMerge w:val="restart"/>
                  <w:vAlign w:val="center"/>
                </w:tcPr>
                <w:p w14:paraId="253F90CE">
                  <w:pPr>
                    <w:pStyle w:val="48"/>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31.771636</w:t>
                  </w:r>
                </w:p>
              </w:tc>
              <w:tc>
                <w:tcPr>
                  <w:tcW w:w="450" w:type="pct"/>
                  <w:vMerge w:val="restart"/>
                  <w:vAlign w:val="center"/>
                </w:tcPr>
                <w:p w14:paraId="59D54520">
                  <w:pPr>
                    <w:pStyle w:val="48"/>
                    <w:rPr>
                      <w:rFonts w:hint="default" w:eastAsia="宋体"/>
                      <w:color w:val="auto"/>
                      <w:highlight w:val="none"/>
                      <w:lang w:val="en-US" w:eastAsia="zh-CN"/>
                    </w:rPr>
                  </w:pPr>
                  <w:r>
                    <w:rPr>
                      <w:rFonts w:hint="eastAsia" w:cs="Times New Roman"/>
                      <w:color w:val="auto"/>
                      <w:sz w:val="21"/>
                      <w:szCs w:val="21"/>
                      <w:lang w:val="en-US" w:eastAsia="zh-CN"/>
                    </w:rPr>
                    <w:t>50</w:t>
                  </w:r>
                </w:p>
              </w:tc>
              <w:tc>
                <w:tcPr>
                  <w:tcW w:w="408" w:type="pct"/>
                  <w:vMerge w:val="restart"/>
                  <w:vAlign w:val="center"/>
                </w:tcPr>
                <w:p w14:paraId="7F787466">
                  <w:pPr>
                    <w:pStyle w:val="48"/>
                    <w:rPr>
                      <w:rFonts w:hint="eastAsia" w:eastAsia="宋体"/>
                      <w:color w:val="auto"/>
                      <w:highlight w:val="none"/>
                      <w:lang w:eastAsia="zh-CN"/>
                    </w:rPr>
                  </w:pPr>
                  <w:r>
                    <w:rPr>
                      <w:rFonts w:hint="eastAsia" w:cs="Times New Roman"/>
                      <w:color w:val="auto"/>
                      <w:sz w:val="21"/>
                      <w:szCs w:val="21"/>
                      <w:highlight w:val="none"/>
                      <w:lang w:val="en-US" w:eastAsia="zh-CN"/>
                    </w:rPr>
                    <w:t>空港</w:t>
                  </w:r>
                  <w:r>
                    <w:rPr>
                      <w:rFonts w:hint="eastAsia"/>
                      <w:color w:val="auto"/>
                      <w:highlight w:val="none"/>
                      <w:lang w:eastAsia="zh-CN"/>
                    </w:rPr>
                    <w:t>污水处理厂</w:t>
                  </w:r>
                </w:p>
              </w:tc>
              <w:tc>
                <w:tcPr>
                  <w:tcW w:w="519" w:type="pct"/>
                  <w:vMerge w:val="restart"/>
                  <w:vAlign w:val="center"/>
                </w:tcPr>
                <w:p w14:paraId="704224C8">
                  <w:pPr>
                    <w:pStyle w:val="48"/>
                    <w:tabs>
                      <w:tab w:val="left" w:pos="0"/>
                    </w:tabs>
                    <w:ind w:firstLine="0" w:firstLineChars="0"/>
                    <w:rPr>
                      <w:rFonts w:hint="eastAsia" w:cs="Times New Roman"/>
                      <w:color w:val="auto"/>
                      <w:sz w:val="21"/>
                      <w:szCs w:val="21"/>
                      <w:highlight w:val="none"/>
                      <w:lang w:val="en-US" w:eastAsia="zh-CN"/>
                    </w:rPr>
                  </w:pPr>
                  <w:r>
                    <w:rPr>
                      <w:rFonts w:hint="eastAsia"/>
                      <w:color w:val="auto"/>
                    </w:rPr>
                    <w:t>间断排放，排放期间流量不稳定且无规律，但不属于冲击性排放</w:t>
                  </w:r>
                </w:p>
              </w:tc>
              <w:tc>
                <w:tcPr>
                  <w:tcW w:w="317" w:type="pct"/>
                  <w:vMerge w:val="restart"/>
                  <w:vAlign w:val="center"/>
                </w:tcPr>
                <w:p w14:paraId="57491CE7">
                  <w:pPr>
                    <w:pStyle w:val="48"/>
                    <w:tabs>
                      <w:tab w:val="left" w:pos="0"/>
                    </w:tabs>
                    <w:ind w:firstLine="0" w:firstLineChars="0"/>
                    <w:rPr>
                      <w:color w:val="auto"/>
                      <w:highlight w:val="none"/>
                    </w:rPr>
                  </w:pPr>
                  <w:sdt>
                    <w:sdtPr>
                      <w:rPr>
                        <w:color w:val="auto"/>
                      </w:rPr>
                      <w:alias w:val="标点符号错误"/>
                      <w:tag w:val="reviewtag_FF0000"/>
                      <w:id w:val="3060635"/>
                    </w:sdtPr>
                    <w:sdtEndPr>
                      <w:rPr>
                        <w:color w:val="auto"/>
                      </w:rPr>
                    </w:sdtEndPr>
                    <w:sdtContent>
                      <w:bookmarkStart w:id="139" w:name="bkReivew3060635"/>
                      <w:r>
                        <w:rPr>
                          <w:color w:val="auto"/>
                        </w:rPr>
                        <w:t>-</w:t>
                      </w:r>
                      <w:bookmarkEnd w:id="139"/>
                    </w:sdtContent>
                  </w:sdt>
                </w:p>
              </w:tc>
              <w:tc>
                <w:tcPr>
                  <w:tcW w:w="471" w:type="pct"/>
                  <w:vMerge w:val="restart"/>
                  <w:vAlign w:val="center"/>
                </w:tcPr>
                <w:p w14:paraId="5B45CF53">
                  <w:pPr>
                    <w:pStyle w:val="48"/>
                    <w:rPr>
                      <w:rFonts w:hint="eastAsia" w:eastAsia="宋体"/>
                      <w:color w:val="auto"/>
                      <w:highlight w:val="none"/>
                      <w:lang w:eastAsia="zh-CN"/>
                    </w:rPr>
                  </w:pPr>
                  <w:r>
                    <w:rPr>
                      <w:rFonts w:hint="eastAsia" w:cs="Times New Roman"/>
                      <w:color w:val="auto"/>
                      <w:sz w:val="21"/>
                      <w:szCs w:val="21"/>
                      <w:highlight w:val="none"/>
                      <w:lang w:val="en-US" w:eastAsia="zh-CN"/>
                    </w:rPr>
                    <w:t>空港</w:t>
                  </w:r>
                  <w:r>
                    <w:rPr>
                      <w:rFonts w:hint="eastAsia"/>
                      <w:color w:val="auto"/>
                      <w:highlight w:val="none"/>
                      <w:lang w:eastAsia="zh-CN"/>
                    </w:rPr>
                    <w:t>污水处理厂</w:t>
                  </w:r>
                </w:p>
              </w:tc>
              <w:tc>
                <w:tcPr>
                  <w:tcW w:w="478" w:type="pct"/>
                  <w:vAlign w:val="center"/>
                </w:tcPr>
                <w:p w14:paraId="3AB7A38B">
                  <w:pPr>
                    <w:pStyle w:val="48"/>
                    <w:rPr>
                      <w:color w:val="auto"/>
                      <w:highlight w:val="none"/>
                    </w:rPr>
                  </w:pPr>
                  <w:r>
                    <w:rPr>
                      <w:color w:val="auto"/>
                      <w:highlight w:val="none"/>
                    </w:rPr>
                    <w:t>COD</w:t>
                  </w:r>
                </w:p>
              </w:tc>
              <w:tc>
                <w:tcPr>
                  <w:tcW w:w="713" w:type="pct"/>
                  <w:vAlign w:val="center"/>
                </w:tcPr>
                <w:p w14:paraId="23A037BC">
                  <w:pPr>
                    <w:pStyle w:val="48"/>
                    <w:rPr>
                      <w:rFonts w:hint="default" w:eastAsia="宋体"/>
                      <w:color w:val="auto"/>
                      <w:highlight w:val="none"/>
                      <w:lang w:val="en-US" w:eastAsia="zh-CN"/>
                    </w:rPr>
                  </w:pPr>
                  <w:r>
                    <w:rPr>
                      <w:rFonts w:hint="eastAsia"/>
                      <w:color w:val="auto"/>
                      <w:highlight w:val="none"/>
                      <w:lang w:val="en-US" w:eastAsia="zh-CN"/>
                    </w:rPr>
                    <w:t>50</w:t>
                  </w:r>
                </w:p>
              </w:tc>
            </w:tr>
            <w:tr w14:paraId="4058BBD6">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44" w:type="pct"/>
                  <w:vMerge w:val="continue"/>
                  <w:vAlign w:val="center"/>
                </w:tcPr>
                <w:p w14:paraId="195BC0BB">
                  <w:pPr>
                    <w:pStyle w:val="48"/>
                    <w:rPr>
                      <w:color w:val="auto"/>
                      <w:highlight w:val="none"/>
                    </w:rPr>
                  </w:pPr>
                </w:p>
              </w:tc>
              <w:tc>
                <w:tcPr>
                  <w:tcW w:w="465" w:type="pct"/>
                  <w:vMerge w:val="continue"/>
                  <w:vAlign w:val="center"/>
                </w:tcPr>
                <w:p w14:paraId="2122375E">
                  <w:pPr>
                    <w:pStyle w:val="48"/>
                    <w:rPr>
                      <w:color w:val="auto"/>
                      <w:highlight w:val="none"/>
                    </w:rPr>
                  </w:pPr>
                </w:p>
              </w:tc>
              <w:tc>
                <w:tcPr>
                  <w:tcW w:w="527" w:type="pct"/>
                  <w:vMerge w:val="continue"/>
                  <w:vAlign w:val="center"/>
                </w:tcPr>
                <w:p w14:paraId="44C66D35">
                  <w:pPr>
                    <w:pStyle w:val="48"/>
                    <w:rPr>
                      <w:color w:val="auto"/>
                      <w:highlight w:val="none"/>
                    </w:rPr>
                  </w:pPr>
                </w:p>
              </w:tc>
              <w:tc>
                <w:tcPr>
                  <w:tcW w:w="503" w:type="pct"/>
                  <w:vMerge w:val="continue"/>
                  <w:vAlign w:val="center"/>
                </w:tcPr>
                <w:p w14:paraId="0E1C02FB">
                  <w:pPr>
                    <w:pStyle w:val="48"/>
                    <w:rPr>
                      <w:color w:val="auto"/>
                      <w:highlight w:val="none"/>
                    </w:rPr>
                  </w:pPr>
                </w:p>
              </w:tc>
              <w:tc>
                <w:tcPr>
                  <w:tcW w:w="450" w:type="pct"/>
                  <w:vMerge w:val="continue"/>
                  <w:vAlign w:val="center"/>
                </w:tcPr>
                <w:p w14:paraId="263A0787">
                  <w:pPr>
                    <w:pStyle w:val="48"/>
                    <w:rPr>
                      <w:color w:val="auto"/>
                      <w:highlight w:val="none"/>
                    </w:rPr>
                  </w:pPr>
                </w:p>
              </w:tc>
              <w:tc>
                <w:tcPr>
                  <w:tcW w:w="408" w:type="pct"/>
                  <w:vMerge w:val="continue"/>
                  <w:vAlign w:val="center"/>
                </w:tcPr>
                <w:p w14:paraId="079CE28B">
                  <w:pPr>
                    <w:pStyle w:val="48"/>
                    <w:rPr>
                      <w:color w:val="auto"/>
                      <w:highlight w:val="none"/>
                    </w:rPr>
                  </w:pPr>
                </w:p>
              </w:tc>
              <w:tc>
                <w:tcPr>
                  <w:tcW w:w="519" w:type="pct"/>
                  <w:vMerge w:val="continue"/>
                  <w:vAlign w:val="center"/>
                </w:tcPr>
                <w:p w14:paraId="0E9D7890">
                  <w:pPr>
                    <w:pStyle w:val="48"/>
                    <w:rPr>
                      <w:color w:val="auto"/>
                      <w:highlight w:val="none"/>
                    </w:rPr>
                  </w:pPr>
                </w:p>
              </w:tc>
              <w:tc>
                <w:tcPr>
                  <w:tcW w:w="317" w:type="pct"/>
                  <w:vMerge w:val="continue"/>
                  <w:vAlign w:val="center"/>
                </w:tcPr>
                <w:p w14:paraId="2F84A3D2">
                  <w:pPr>
                    <w:pStyle w:val="48"/>
                    <w:rPr>
                      <w:color w:val="auto"/>
                      <w:highlight w:val="none"/>
                    </w:rPr>
                  </w:pPr>
                </w:p>
              </w:tc>
              <w:tc>
                <w:tcPr>
                  <w:tcW w:w="471" w:type="pct"/>
                  <w:vMerge w:val="continue"/>
                  <w:vAlign w:val="center"/>
                </w:tcPr>
                <w:p w14:paraId="47B2ABAB">
                  <w:pPr>
                    <w:pStyle w:val="48"/>
                    <w:rPr>
                      <w:color w:val="auto"/>
                      <w:highlight w:val="none"/>
                    </w:rPr>
                  </w:pPr>
                </w:p>
              </w:tc>
              <w:tc>
                <w:tcPr>
                  <w:tcW w:w="478" w:type="pct"/>
                  <w:vAlign w:val="center"/>
                </w:tcPr>
                <w:p w14:paraId="5A05D0A0">
                  <w:pPr>
                    <w:pStyle w:val="48"/>
                    <w:rPr>
                      <w:color w:val="auto"/>
                      <w:highlight w:val="none"/>
                    </w:rPr>
                  </w:pPr>
                  <w:r>
                    <w:rPr>
                      <w:color w:val="auto"/>
                      <w:highlight w:val="none"/>
                    </w:rPr>
                    <w:t>SS</w:t>
                  </w:r>
                </w:p>
              </w:tc>
              <w:tc>
                <w:tcPr>
                  <w:tcW w:w="713" w:type="pct"/>
                  <w:vAlign w:val="center"/>
                </w:tcPr>
                <w:p w14:paraId="3A1C1259">
                  <w:pPr>
                    <w:pStyle w:val="48"/>
                    <w:rPr>
                      <w:rFonts w:hint="default" w:eastAsia="宋体"/>
                      <w:color w:val="auto"/>
                      <w:highlight w:val="none"/>
                      <w:lang w:val="en-US" w:eastAsia="zh-CN"/>
                    </w:rPr>
                  </w:pPr>
                  <w:r>
                    <w:rPr>
                      <w:rFonts w:hint="eastAsia"/>
                      <w:color w:val="auto"/>
                      <w:highlight w:val="none"/>
                      <w:lang w:val="en-US" w:eastAsia="zh-CN"/>
                    </w:rPr>
                    <w:t>10</w:t>
                  </w:r>
                </w:p>
              </w:tc>
            </w:tr>
            <w:tr w14:paraId="3E9E6065">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44" w:type="pct"/>
                  <w:vMerge w:val="continue"/>
                  <w:vAlign w:val="center"/>
                </w:tcPr>
                <w:p w14:paraId="62440863">
                  <w:pPr>
                    <w:pStyle w:val="48"/>
                    <w:rPr>
                      <w:color w:val="auto"/>
                      <w:highlight w:val="none"/>
                    </w:rPr>
                  </w:pPr>
                </w:p>
              </w:tc>
              <w:tc>
                <w:tcPr>
                  <w:tcW w:w="465" w:type="pct"/>
                  <w:vMerge w:val="continue"/>
                  <w:vAlign w:val="center"/>
                </w:tcPr>
                <w:p w14:paraId="434CFE6A">
                  <w:pPr>
                    <w:pStyle w:val="48"/>
                    <w:rPr>
                      <w:color w:val="auto"/>
                      <w:highlight w:val="none"/>
                    </w:rPr>
                  </w:pPr>
                </w:p>
              </w:tc>
              <w:tc>
                <w:tcPr>
                  <w:tcW w:w="527" w:type="pct"/>
                  <w:vMerge w:val="continue"/>
                  <w:vAlign w:val="center"/>
                </w:tcPr>
                <w:p w14:paraId="39A0F385">
                  <w:pPr>
                    <w:pStyle w:val="48"/>
                    <w:rPr>
                      <w:color w:val="auto"/>
                      <w:highlight w:val="none"/>
                    </w:rPr>
                  </w:pPr>
                </w:p>
              </w:tc>
              <w:tc>
                <w:tcPr>
                  <w:tcW w:w="503" w:type="pct"/>
                  <w:vMerge w:val="continue"/>
                  <w:vAlign w:val="center"/>
                </w:tcPr>
                <w:p w14:paraId="7E66259D">
                  <w:pPr>
                    <w:pStyle w:val="48"/>
                    <w:rPr>
                      <w:color w:val="auto"/>
                      <w:highlight w:val="none"/>
                    </w:rPr>
                  </w:pPr>
                </w:p>
              </w:tc>
              <w:tc>
                <w:tcPr>
                  <w:tcW w:w="450" w:type="pct"/>
                  <w:vMerge w:val="continue"/>
                  <w:vAlign w:val="center"/>
                </w:tcPr>
                <w:p w14:paraId="3CB3A354">
                  <w:pPr>
                    <w:pStyle w:val="48"/>
                    <w:rPr>
                      <w:color w:val="auto"/>
                      <w:highlight w:val="none"/>
                    </w:rPr>
                  </w:pPr>
                </w:p>
              </w:tc>
              <w:tc>
                <w:tcPr>
                  <w:tcW w:w="408" w:type="pct"/>
                  <w:vMerge w:val="continue"/>
                  <w:vAlign w:val="center"/>
                </w:tcPr>
                <w:p w14:paraId="57A8EF1F">
                  <w:pPr>
                    <w:pStyle w:val="48"/>
                    <w:rPr>
                      <w:color w:val="auto"/>
                      <w:highlight w:val="none"/>
                    </w:rPr>
                  </w:pPr>
                </w:p>
              </w:tc>
              <w:tc>
                <w:tcPr>
                  <w:tcW w:w="519" w:type="pct"/>
                  <w:vMerge w:val="continue"/>
                  <w:vAlign w:val="center"/>
                </w:tcPr>
                <w:p w14:paraId="186CFD91">
                  <w:pPr>
                    <w:pStyle w:val="48"/>
                    <w:rPr>
                      <w:color w:val="auto"/>
                      <w:highlight w:val="none"/>
                    </w:rPr>
                  </w:pPr>
                </w:p>
              </w:tc>
              <w:tc>
                <w:tcPr>
                  <w:tcW w:w="317" w:type="pct"/>
                  <w:vMerge w:val="continue"/>
                  <w:vAlign w:val="center"/>
                </w:tcPr>
                <w:p w14:paraId="75115E5D">
                  <w:pPr>
                    <w:pStyle w:val="48"/>
                    <w:rPr>
                      <w:color w:val="auto"/>
                      <w:highlight w:val="none"/>
                    </w:rPr>
                  </w:pPr>
                </w:p>
              </w:tc>
              <w:tc>
                <w:tcPr>
                  <w:tcW w:w="471" w:type="pct"/>
                  <w:vMerge w:val="continue"/>
                  <w:vAlign w:val="center"/>
                </w:tcPr>
                <w:p w14:paraId="77A0D558">
                  <w:pPr>
                    <w:pStyle w:val="48"/>
                    <w:rPr>
                      <w:color w:val="auto"/>
                      <w:highlight w:val="none"/>
                    </w:rPr>
                  </w:pPr>
                </w:p>
              </w:tc>
              <w:tc>
                <w:tcPr>
                  <w:tcW w:w="478" w:type="pct"/>
                  <w:vAlign w:val="center"/>
                </w:tcPr>
                <w:p w14:paraId="42A696C9">
                  <w:pPr>
                    <w:pStyle w:val="48"/>
                    <w:rPr>
                      <w:color w:val="auto"/>
                      <w:highlight w:val="none"/>
                    </w:rPr>
                  </w:pPr>
                  <w:r>
                    <w:rPr>
                      <w:color w:val="auto"/>
                      <w:highlight w:val="none"/>
                    </w:rPr>
                    <w:t>NH</w:t>
                  </w:r>
                  <w:r>
                    <w:rPr>
                      <w:color w:val="auto"/>
                      <w:highlight w:val="none"/>
                      <w:vertAlign w:val="subscript"/>
                    </w:rPr>
                    <w:t>3</w:t>
                  </w:r>
                  <w:r>
                    <w:rPr>
                      <w:color w:val="auto"/>
                      <w:highlight w:val="none"/>
                    </w:rPr>
                    <w:t>-N</w:t>
                  </w:r>
                </w:p>
              </w:tc>
              <w:tc>
                <w:tcPr>
                  <w:tcW w:w="713" w:type="pct"/>
                  <w:vAlign w:val="center"/>
                </w:tcPr>
                <w:p w14:paraId="6D936AD8">
                  <w:pPr>
                    <w:pStyle w:val="48"/>
                    <w:rPr>
                      <w:rFonts w:hint="eastAsia" w:eastAsia="宋体"/>
                      <w:color w:val="auto"/>
                      <w:highlight w:val="none"/>
                      <w:lang w:val="en-US" w:eastAsia="zh-CN"/>
                    </w:rPr>
                  </w:pPr>
                  <w:r>
                    <w:rPr>
                      <w:rFonts w:hint="eastAsia"/>
                      <w:color w:val="auto"/>
                      <w:highlight w:val="none"/>
                      <w:lang w:val="en-US" w:eastAsia="zh-CN"/>
                    </w:rPr>
                    <w:t>4（6）</w:t>
                  </w:r>
                  <w:r>
                    <w:rPr>
                      <w:rFonts w:hint="eastAsia" w:ascii="Calibri" w:hAnsi="Calibri" w:cs="Calibri"/>
                      <w:color w:val="auto"/>
                      <w:highlight w:val="none"/>
                      <w:vertAlign w:val="superscript"/>
                      <w:lang w:val="en-US" w:eastAsia="zh-CN"/>
                    </w:rPr>
                    <w:t>①</w:t>
                  </w:r>
                </w:p>
              </w:tc>
            </w:tr>
            <w:tr w14:paraId="45A686F0">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44" w:type="pct"/>
                  <w:vMerge w:val="continue"/>
                  <w:vAlign w:val="center"/>
                </w:tcPr>
                <w:p w14:paraId="1E7D7C31">
                  <w:pPr>
                    <w:pStyle w:val="48"/>
                    <w:rPr>
                      <w:color w:val="auto"/>
                      <w:highlight w:val="none"/>
                    </w:rPr>
                  </w:pPr>
                </w:p>
              </w:tc>
              <w:tc>
                <w:tcPr>
                  <w:tcW w:w="465" w:type="pct"/>
                  <w:vMerge w:val="continue"/>
                  <w:vAlign w:val="center"/>
                </w:tcPr>
                <w:p w14:paraId="04C9BF45">
                  <w:pPr>
                    <w:pStyle w:val="48"/>
                    <w:rPr>
                      <w:color w:val="auto"/>
                      <w:highlight w:val="none"/>
                    </w:rPr>
                  </w:pPr>
                </w:p>
              </w:tc>
              <w:tc>
                <w:tcPr>
                  <w:tcW w:w="527" w:type="pct"/>
                  <w:vMerge w:val="continue"/>
                  <w:vAlign w:val="center"/>
                </w:tcPr>
                <w:p w14:paraId="3D7674BE">
                  <w:pPr>
                    <w:pStyle w:val="48"/>
                    <w:rPr>
                      <w:color w:val="auto"/>
                      <w:highlight w:val="none"/>
                    </w:rPr>
                  </w:pPr>
                </w:p>
              </w:tc>
              <w:tc>
                <w:tcPr>
                  <w:tcW w:w="503" w:type="pct"/>
                  <w:vMerge w:val="continue"/>
                  <w:vAlign w:val="center"/>
                </w:tcPr>
                <w:p w14:paraId="63A07EFD">
                  <w:pPr>
                    <w:pStyle w:val="48"/>
                    <w:rPr>
                      <w:color w:val="auto"/>
                      <w:highlight w:val="none"/>
                    </w:rPr>
                  </w:pPr>
                </w:p>
              </w:tc>
              <w:tc>
                <w:tcPr>
                  <w:tcW w:w="450" w:type="pct"/>
                  <w:vMerge w:val="continue"/>
                  <w:vAlign w:val="center"/>
                </w:tcPr>
                <w:p w14:paraId="4DDD355C">
                  <w:pPr>
                    <w:pStyle w:val="48"/>
                    <w:rPr>
                      <w:color w:val="auto"/>
                      <w:highlight w:val="none"/>
                    </w:rPr>
                  </w:pPr>
                </w:p>
              </w:tc>
              <w:tc>
                <w:tcPr>
                  <w:tcW w:w="408" w:type="pct"/>
                  <w:vMerge w:val="continue"/>
                  <w:vAlign w:val="center"/>
                </w:tcPr>
                <w:p w14:paraId="412820EE">
                  <w:pPr>
                    <w:pStyle w:val="48"/>
                    <w:rPr>
                      <w:color w:val="auto"/>
                      <w:highlight w:val="none"/>
                    </w:rPr>
                  </w:pPr>
                </w:p>
              </w:tc>
              <w:tc>
                <w:tcPr>
                  <w:tcW w:w="519" w:type="pct"/>
                  <w:vMerge w:val="continue"/>
                  <w:vAlign w:val="center"/>
                </w:tcPr>
                <w:p w14:paraId="2998CBA9">
                  <w:pPr>
                    <w:pStyle w:val="48"/>
                    <w:rPr>
                      <w:color w:val="auto"/>
                      <w:highlight w:val="none"/>
                    </w:rPr>
                  </w:pPr>
                </w:p>
              </w:tc>
              <w:tc>
                <w:tcPr>
                  <w:tcW w:w="317" w:type="pct"/>
                  <w:vMerge w:val="continue"/>
                  <w:vAlign w:val="center"/>
                </w:tcPr>
                <w:p w14:paraId="6079D606">
                  <w:pPr>
                    <w:pStyle w:val="48"/>
                    <w:rPr>
                      <w:color w:val="auto"/>
                      <w:highlight w:val="none"/>
                    </w:rPr>
                  </w:pPr>
                </w:p>
              </w:tc>
              <w:tc>
                <w:tcPr>
                  <w:tcW w:w="471" w:type="pct"/>
                  <w:vMerge w:val="continue"/>
                  <w:vAlign w:val="center"/>
                </w:tcPr>
                <w:p w14:paraId="00DFC729">
                  <w:pPr>
                    <w:pStyle w:val="48"/>
                    <w:rPr>
                      <w:color w:val="auto"/>
                      <w:highlight w:val="none"/>
                    </w:rPr>
                  </w:pPr>
                </w:p>
              </w:tc>
              <w:tc>
                <w:tcPr>
                  <w:tcW w:w="478" w:type="pct"/>
                  <w:vAlign w:val="center"/>
                </w:tcPr>
                <w:p w14:paraId="3BE638CD">
                  <w:pPr>
                    <w:pStyle w:val="48"/>
                    <w:rPr>
                      <w:color w:val="auto"/>
                      <w:highlight w:val="none"/>
                    </w:rPr>
                  </w:pPr>
                  <w:r>
                    <w:rPr>
                      <w:color w:val="auto"/>
                      <w:highlight w:val="none"/>
                    </w:rPr>
                    <w:t>TP</w:t>
                  </w:r>
                </w:p>
              </w:tc>
              <w:tc>
                <w:tcPr>
                  <w:tcW w:w="713" w:type="pct"/>
                  <w:vAlign w:val="center"/>
                </w:tcPr>
                <w:p w14:paraId="5584824B">
                  <w:pPr>
                    <w:pStyle w:val="48"/>
                    <w:rPr>
                      <w:rFonts w:hint="default" w:eastAsia="宋体"/>
                      <w:color w:val="auto"/>
                      <w:highlight w:val="none"/>
                      <w:lang w:val="en-US" w:eastAsia="zh-CN"/>
                    </w:rPr>
                  </w:pPr>
                  <w:r>
                    <w:rPr>
                      <w:rFonts w:hint="eastAsia"/>
                      <w:color w:val="auto"/>
                      <w:highlight w:val="none"/>
                      <w:lang w:val="en-US" w:eastAsia="zh-CN"/>
                    </w:rPr>
                    <w:t>0.5</w:t>
                  </w:r>
                </w:p>
              </w:tc>
            </w:tr>
            <w:tr w14:paraId="2355A080">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0" w:type="dxa"/>
                  <w:left w:w="0" w:type="dxa"/>
                  <w:bottom w:w="0" w:type="dxa"/>
                  <w:right w:w="0" w:type="dxa"/>
                </w:tblCellMar>
              </w:tblPrEx>
              <w:trPr>
                <w:trHeight w:val="90" w:hRule="atLeast"/>
                <w:jc w:val="center"/>
              </w:trPr>
              <w:tc>
                <w:tcPr>
                  <w:tcW w:w="144" w:type="pct"/>
                  <w:vMerge w:val="continue"/>
                  <w:vAlign w:val="center"/>
                </w:tcPr>
                <w:p w14:paraId="0797AD15">
                  <w:pPr>
                    <w:pStyle w:val="48"/>
                    <w:rPr>
                      <w:color w:val="auto"/>
                      <w:highlight w:val="none"/>
                    </w:rPr>
                  </w:pPr>
                </w:p>
              </w:tc>
              <w:tc>
                <w:tcPr>
                  <w:tcW w:w="465" w:type="pct"/>
                  <w:vMerge w:val="continue"/>
                  <w:vAlign w:val="center"/>
                </w:tcPr>
                <w:p w14:paraId="30D78565">
                  <w:pPr>
                    <w:pStyle w:val="48"/>
                    <w:rPr>
                      <w:color w:val="auto"/>
                      <w:highlight w:val="none"/>
                    </w:rPr>
                  </w:pPr>
                </w:p>
              </w:tc>
              <w:tc>
                <w:tcPr>
                  <w:tcW w:w="527" w:type="pct"/>
                  <w:vMerge w:val="continue"/>
                  <w:vAlign w:val="center"/>
                </w:tcPr>
                <w:p w14:paraId="779599CB">
                  <w:pPr>
                    <w:pStyle w:val="48"/>
                    <w:rPr>
                      <w:color w:val="auto"/>
                      <w:highlight w:val="none"/>
                    </w:rPr>
                  </w:pPr>
                </w:p>
              </w:tc>
              <w:tc>
                <w:tcPr>
                  <w:tcW w:w="503" w:type="pct"/>
                  <w:vMerge w:val="continue"/>
                  <w:vAlign w:val="center"/>
                </w:tcPr>
                <w:p w14:paraId="7BEC419B">
                  <w:pPr>
                    <w:pStyle w:val="48"/>
                    <w:rPr>
                      <w:color w:val="auto"/>
                      <w:highlight w:val="none"/>
                    </w:rPr>
                  </w:pPr>
                </w:p>
              </w:tc>
              <w:tc>
                <w:tcPr>
                  <w:tcW w:w="450" w:type="pct"/>
                  <w:vMerge w:val="continue"/>
                  <w:vAlign w:val="center"/>
                </w:tcPr>
                <w:p w14:paraId="0EF53C7D">
                  <w:pPr>
                    <w:pStyle w:val="48"/>
                    <w:rPr>
                      <w:color w:val="auto"/>
                      <w:highlight w:val="none"/>
                    </w:rPr>
                  </w:pPr>
                </w:p>
              </w:tc>
              <w:tc>
                <w:tcPr>
                  <w:tcW w:w="408" w:type="pct"/>
                  <w:vMerge w:val="continue"/>
                  <w:vAlign w:val="center"/>
                </w:tcPr>
                <w:p w14:paraId="31EA705C">
                  <w:pPr>
                    <w:pStyle w:val="48"/>
                    <w:rPr>
                      <w:color w:val="auto"/>
                      <w:highlight w:val="none"/>
                    </w:rPr>
                  </w:pPr>
                </w:p>
              </w:tc>
              <w:tc>
                <w:tcPr>
                  <w:tcW w:w="519" w:type="pct"/>
                  <w:vMerge w:val="continue"/>
                  <w:vAlign w:val="center"/>
                </w:tcPr>
                <w:p w14:paraId="77940210">
                  <w:pPr>
                    <w:pStyle w:val="48"/>
                    <w:rPr>
                      <w:color w:val="auto"/>
                      <w:highlight w:val="none"/>
                    </w:rPr>
                  </w:pPr>
                </w:p>
              </w:tc>
              <w:tc>
                <w:tcPr>
                  <w:tcW w:w="317" w:type="pct"/>
                  <w:vMerge w:val="continue"/>
                  <w:vAlign w:val="center"/>
                </w:tcPr>
                <w:p w14:paraId="7CD5D588">
                  <w:pPr>
                    <w:pStyle w:val="48"/>
                    <w:rPr>
                      <w:color w:val="auto"/>
                      <w:highlight w:val="none"/>
                    </w:rPr>
                  </w:pPr>
                </w:p>
              </w:tc>
              <w:tc>
                <w:tcPr>
                  <w:tcW w:w="471" w:type="pct"/>
                  <w:vMerge w:val="continue"/>
                  <w:vAlign w:val="center"/>
                </w:tcPr>
                <w:p w14:paraId="76DF4108">
                  <w:pPr>
                    <w:pStyle w:val="48"/>
                    <w:rPr>
                      <w:color w:val="auto"/>
                      <w:highlight w:val="none"/>
                    </w:rPr>
                  </w:pPr>
                </w:p>
              </w:tc>
              <w:tc>
                <w:tcPr>
                  <w:tcW w:w="478" w:type="pct"/>
                  <w:vAlign w:val="center"/>
                </w:tcPr>
                <w:p w14:paraId="642D8AEC">
                  <w:pPr>
                    <w:pStyle w:val="48"/>
                    <w:rPr>
                      <w:rFonts w:hint="default" w:eastAsia="宋体"/>
                      <w:color w:val="auto"/>
                      <w:highlight w:val="none"/>
                      <w:lang w:val="en-US" w:eastAsia="zh-CN"/>
                    </w:rPr>
                  </w:pPr>
                  <w:r>
                    <w:rPr>
                      <w:rFonts w:hint="eastAsia"/>
                      <w:color w:val="auto"/>
                      <w:highlight w:val="none"/>
                      <w:lang w:val="en-US" w:eastAsia="zh-CN"/>
                    </w:rPr>
                    <w:t>TN</w:t>
                  </w:r>
                </w:p>
              </w:tc>
              <w:tc>
                <w:tcPr>
                  <w:tcW w:w="713" w:type="pct"/>
                  <w:vAlign w:val="center"/>
                </w:tcPr>
                <w:p w14:paraId="01B2C7A6">
                  <w:pPr>
                    <w:pStyle w:val="48"/>
                    <w:rPr>
                      <w:rFonts w:hint="default" w:eastAsia="宋体"/>
                      <w:color w:val="auto"/>
                      <w:highlight w:val="none"/>
                      <w:lang w:val="en-US" w:eastAsia="zh-CN"/>
                    </w:rPr>
                  </w:pPr>
                  <w:r>
                    <w:rPr>
                      <w:rFonts w:hint="eastAsia"/>
                      <w:color w:val="auto"/>
                      <w:highlight w:val="none"/>
                      <w:lang w:val="en-US" w:eastAsia="zh-CN"/>
                    </w:rPr>
                    <w:t>12（15）</w:t>
                  </w:r>
                  <w:r>
                    <w:rPr>
                      <w:rFonts w:hint="eastAsia" w:ascii="Calibri" w:hAnsi="Calibri" w:cs="Calibri"/>
                      <w:color w:val="auto"/>
                      <w:highlight w:val="none"/>
                      <w:vertAlign w:val="superscript"/>
                      <w:lang w:val="en-US" w:eastAsia="zh-CN"/>
                    </w:rPr>
                    <w:t>①</w:t>
                  </w:r>
                </w:p>
              </w:tc>
            </w:tr>
          </w:tbl>
          <w:p w14:paraId="5CC7E79D">
            <w:pPr>
              <w:pStyle w:val="48"/>
              <w:jc w:val="both"/>
              <w:rPr>
                <w:color w:val="auto"/>
                <w:highlight w:val="none"/>
              </w:rPr>
            </w:pPr>
            <w:r>
              <w:rPr>
                <w:color w:val="auto"/>
                <w:highlight w:val="none"/>
              </w:rPr>
              <w:t>注</w:t>
            </w:r>
            <w:r>
              <w:rPr>
                <w:rFonts w:hint="eastAsia"/>
                <w:color w:val="auto"/>
                <w:highlight w:val="none"/>
                <w:lang w:eastAsia="zh-CN"/>
              </w:rPr>
              <w:t>：①</w:t>
            </w:r>
            <w:r>
              <w:rPr>
                <w:rFonts w:hint="eastAsia" w:cs="Times New Roman"/>
                <w:color w:val="auto"/>
                <w:highlight w:val="none"/>
                <w:lang w:val="en-US" w:eastAsia="zh-CN"/>
              </w:rPr>
              <w:t>每年11月1日至次年3月31日执行括号内排放限值</w:t>
            </w:r>
            <w:r>
              <w:rPr>
                <w:color w:val="auto"/>
                <w:highlight w:val="none"/>
              </w:rPr>
              <w:t>。</w:t>
            </w:r>
          </w:p>
          <w:p w14:paraId="25D9D069">
            <w:pPr>
              <w:spacing w:line="480" w:lineRule="exact"/>
              <w:ind w:firstLine="482" w:firstLineChars="200"/>
              <w:contextualSpacing/>
              <w:rPr>
                <w:b/>
                <w:bCs/>
                <w:color w:val="auto"/>
                <w:sz w:val="24"/>
                <w:highlight w:val="none"/>
              </w:rPr>
            </w:pPr>
            <w:r>
              <w:rPr>
                <w:rFonts w:hint="eastAsia"/>
                <w:b/>
                <w:bCs/>
                <w:color w:val="auto"/>
                <w:sz w:val="24"/>
                <w:highlight w:val="none"/>
              </w:rPr>
              <w:t>（</w:t>
            </w:r>
            <w:r>
              <w:rPr>
                <w:rFonts w:hint="eastAsia"/>
                <w:b/>
                <w:bCs/>
                <w:color w:val="auto"/>
                <w:sz w:val="24"/>
                <w:highlight w:val="none"/>
                <w:lang w:val="en-US" w:eastAsia="zh-CN"/>
              </w:rPr>
              <w:t>3</w:t>
            </w:r>
            <w:r>
              <w:rPr>
                <w:rFonts w:hint="eastAsia"/>
                <w:b/>
                <w:bCs/>
                <w:color w:val="auto"/>
                <w:sz w:val="24"/>
                <w:highlight w:val="none"/>
              </w:rPr>
              <w:t>）治理措施技术可行性分析</w:t>
            </w:r>
          </w:p>
          <w:p w14:paraId="6B49E43E">
            <w:pPr>
              <w:ind w:firstLine="482"/>
              <w:rPr>
                <w:b/>
                <w:bCs/>
                <w:color w:val="auto"/>
                <w:highlight w:val="none"/>
              </w:rPr>
            </w:pPr>
            <w:r>
              <w:rPr>
                <w:b/>
                <w:bCs/>
                <w:color w:val="auto"/>
                <w:highlight w:val="none"/>
              </w:rPr>
              <w:t>1）化粪池</w:t>
            </w:r>
          </w:p>
          <w:p w14:paraId="4316C55C">
            <w:pPr>
              <w:snapToGrid w:val="0"/>
              <w:ind w:firstLine="480"/>
              <w:rPr>
                <w:color w:val="auto"/>
                <w:highlight w:val="none"/>
              </w:rPr>
            </w:pPr>
            <w:r>
              <w:rPr>
                <w:color w:val="auto"/>
                <w:highlight w:val="none"/>
              </w:rPr>
              <w:t>化粪池工作原理为：主要通过格栅</w:t>
            </w:r>
            <w:r>
              <w:rPr>
                <w:color w:val="auto"/>
                <w:highlight w:val="none"/>
                <w:lang w:val="zh-CN"/>
              </w:rPr>
              <w:t>截留污水中的粗大悬浮物和漂浮物、纤维物质和固体颗粒物</w:t>
            </w:r>
            <w:sdt>
              <w:sdtPr>
                <w:rPr>
                  <w:color w:val="auto"/>
                </w:rPr>
                <w:alias w:val="语法错误"/>
                <w:tag w:val="reviewtag_FF0000"/>
                <w:id w:val="2071645"/>
              </w:sdtPr>
              <w:sdtEndPr>
                <w:rPr>
                  <w:color w:val="auto"/>
                </w:rPr>
              </w:sdtEndPr>
              <w:sdtContent>
                <w:bookmarkStart w:id="140" w:name="bkReivew2071645"/>
                <w:r>
                  <w:rPr>
                    <w:color w:val="auto"/>
                    <w:highlight w:val="none"/>
                    <w:lang w:val="zh-CN"/>
                  </w:rPr>
                  <w:t>质</w:t>
                </w:r>
                <w:bookmarkEnd w:id="140"/>
              </w:sdtContent>
            </w:sdt>
            <w:r>
              <w:rPr>
                <w:color w:val="auto"/>
                <w:highlight w:val="none"/>
                <w:lang w:val="zh-CN"/>
              </w:rPr>
              <w:t>，</w:t>
            </w:r>
            <w:r>
              <w:rPr>
                <w:color w:val="auto"/>
                <w:highlight w:val="none"/>
              </w:rPr>
              <w:t>利用池内位置相对固定的厌氧菌去除部分污染物，同时在池内由于沉淀作用，部分悬浮物从水体中沉淀分离出来。由于污水在池内水力停留时间短，水流湍动作用较弱，厌氧菌较少且由于位置相对固定而活性较差，</w:t>
            </w:r>
            <w:r>
              <w:rPr>
                <w:rFonts w:hint="eastAsia"/>
                <w:color w:val="auto"/>
                <w:highlight w:val="none"/>
              </w:rPr>
              <w:t>本项目化粪池停留时间为24h，因此，化粪池对COD的去除效率在15%</w:t>
            </w:r>
            <w:r>
              <w:rPr>
                <w:rFonts w:hint="eastAsia"/>
                <w:color w:val="auto"/>
                <w:highlight w:val="none"/>
                <w:lang w:eastAsia="zh-CN"/>
              </w:rPr>
              <w:t>～</w:t>
            </w:r>
            <w:r>
              <w:rPr>
                <w:rFonts w:hint="eastAsia"/>
                <w:color w:val="auto"/>
                <w:highlight w:val="none"/>
              </w:rPr>
              <w:t>20%，对SS的去除效率在40</w:t>
            </w:r>
            <w:r>
              <w:rPr>
                <w:rFonts w:hint="eastAsia"/>
                <w:color w:val="auto"/>
                <w:highlight w:val="none"/>
                <w:lang w:eastAsia="zh-CN"/>
              </w:rPr>
              <w:t>%～</w:t>
            </w:r>
            <w:r>
              <w:rPr>
                <w:rFonts w:hint="eastAsia"/>
                <w:color w:val="auto"/>
                <w:highlight w:val="none"/>
              </w:rPr>
              <w:t>60%，</w:t>
            </w:r>
            <w:r>
              <w:rPr>
                <w:color w:val="auto"/>
                <w:highlight w:val="none"/>
              </w:rPr>
              <w:t>对NH</w:t>
            </w:r>
            <w:r>
              <w:rPr>
                <w:color w:val="auto"/>
                <w:highlight w:val="none"/>
                <w:vertAlign w:val="subscript"/>
              </w:rPr>
              <w:t>3</w:t>
            </w:r>
            <w:r>
              <w:rPr>
                <w:color w:val="auto"/>
                <w:highlight w:val="none"/>
              </w:rPr>
              <w:t>-N和TP几乎没有处理效果。</w:t>
            </w:r>
          </w:p>
          <w:p w14:paraId="4313D453">
            <w:pPr>
              <w:bidi w:val="0"/>
              <w:rPr>
                <w:b/>
                <w:bCs/>
                <w:color w:val="auto"/>
                <w:highlight w:val="none"/>
              </w:rPr>
            </w:pPr>
            <w:r>
              <w:rPr>
                <w:rFonts w:hint="eastAsia"/>
                <w:b/>
                <w:bCs/>
                <w:color w:val="auto"/>
                <w:highlight w:val="none"/>
                <w:lang w:val="en-US" w:eastAsia="zh-CN"/>
              </w:rPr>
              <w:t>2）</w:t>
            </w:r>
            <w:r>
              <w:rPr>
                <w:b/>
                <w:bCs/>
                <w:color w:val="auto"/>
                <w:highlight w:val="none"/>
              </w:rPr>
              <w:t>接管至</w:t>
            </w:r>
            <w:r>
              <w:rPr>
                <w:rFonts w:hint="eastAsia"/>
                <w:b/>
                <w:bCs/>
                <w:color w:val="auto"/>
                <w:highlight w:val="none"/>
              </w:rPr>
              <w:t>空港</w:t>
            </w:r>
            <w:r>
              <w:rPr>
                <w:rFonts w:hint="eastAsia"/>
                <w:b/>
                <w:bCs/>
                <w:color w:val="auto"/>
                <w:highlight w:val="none"/>
                <w:lang w:eastAsia="zh-CN"/>
              </w:rPr>
              <w:t>污水处理厂</w:t>
            </w:r>
            <w:r>
              <w:rPr>
                <w:b/>
                <w:bCs/>
                <w:color w:val="auto"/>
                <w:highlight w:val="none"/>
              </w:rPr>
              <w:t>的可行性分析</w:t>
            </w:r>
          </w:p>
          <w:p w14:paraId="613A7AF7">
            <w:pPr>
              <w:bidi w:val="0"/>
              <w:rPr>
                <w:color w:val="auto"/>
                <w:highlight w:val="none"/>
              </w:rPr>
            </w:pPr>
            <w:r>
              <w:rPr>
                <w:rFonts w:hint="default" w:ascii="Times New Roman" w:hAnsi="Times New Roman" w:eastAsia="宋体" w:cs="Times New Roman"/>
                <w:bCs/>
                <w:color w:val="auto"/>
                <w:sz w:val="24"/>
                <w:highlight w:val="none"/>
              </w:rPr>
              <w:t>空港污水处理厂位于南京市空港工业园北部，将军大道西侧、云台山河南岸，服务范围为爱陵路以西、宁丹高速以东、云台山河以南、信城大道以北。污水处理厂总处理规模为4万m</w:t>
            </w:r>
            <w:r>
              <w:rPr>
                <w:rFonts w:hint="default" w:ascii="Times New Roman" w:hAnsi="Times New Roman" w:eastAsia="宋体" w:cs="Times New Roman"/>
                <w:bCs/>
                <w:color w:val="auto"/>
                <w:sz w:val="24"/>
                <w:highlight w:val="none"/>
                <w:vertAlign w:val="superscript"/>
              </w:rPr>
              <w:t>3</w:t>
            </w:r>
            <w:r>
              <w:rPr>
                <w:rFonts w:hint="default" w:ascii="Times New Roman" w:hAnsi="Times New Roman" w:eastAsia="宋体" w:cs="Times New Roman"/>
                <w:bCs/>
                <w:color w:val="auto"/>
                <w:sz w:val="24"/>
                <w:highlight w:val="none"/>
              </w:rPr>
              <w:t>/d，采用“粗格栅/提升泵房+细格栅/沉砂池+改良A</w:t>
            </w:r>
            <w:r>
              <w:rPr>
                <w:rFonts w:hint="default" w:ascii="Times New Roman" w:hAnsi="Times New Roman" w:eastAsia="宋体" w:cs="Times New Roman"/>
                <w:bCs/>
                <w:color w:val="auto"/>
                <w:sz w:val="24"/>
                <w:highlight w:val="none"/>
                <w:vertAlign w:val="superscript"/>
              </w:rPr>
              <w:t>2</w:t>
            </w:r>
            <w:r>
              <w:rPr>
                <w:rFonts w:hint="default" w:ascii="Times New Roman" w:hAnsi="Times New Roman" w:eastAsia="宋体" w:cs="Times New Roman"/>
                <w:bCs/>
                <w:color w:val="auto"/>
                <w:sz w:val="24"/>
                <w:highlight w:val="none"/>
              </w:rPr>
              <w:t>O+二沉池+转盘滤池+紫外消毒”工艺，</w:t>
            </w:r>
            <w:r>
              <w:rPr>
                <w:rFonts w:hint="default" w:ascii="Times New Roman" w:hAnsi="Times New Roman" w:cs="Times New Roman"/>
                <w:color w:val="auto"/>
                <w:sz w:val="24"/>
                <w:szCs w:val="24"/>
                <w:highlight w:val="none"/>
              </w:rPr>
              <w:t>出水达到《城镇污水处理厂污染物排放标准》</w:t>
            </w:r>
            <w:r>
              <w:rPr>
                <w:rFonts w:hint="default" w:ascii="Times New Roman" w:hAnsi="Times New Roman" w:cs="Times New Roman"/>
                <w:color w:val="auto"/>
                <w:spacing w:val="-1"/>
                <w:sz w:val="24"/>
                <w:szCs w:val="24"/>
                <w:highlight w:val="none"/>
              </w:rPr>
              <w:t>（</w:t>
            </w:r>
            <w:r>
              <w:rPr>
                <w:rFonts w:hint="default" w:ascii="Times New Roman" w:hAnsi="Times New Roman" w:cs="Times New Roman"/>
                <w:color w:val="auto"/>
                <w:spacing w:val="-2"/>
                <w:sz w:val="24"/>
                <w:szCs w:val="24"/>
                <w:highlight w:val="none"/>
              </w:rPr>
              <w:t>G</w:t>
            </w:r>
            <w:r>
              <w:rPr>
                <w:rFonts w:hint="default" w:ascii="Times New Roman" w:hAnsi="Times New Roman" w:cs="Times New Roman"/>
                <w:color w:val="auto"/>
                <w:sz w:val="24"/>
                <w:szCs w:val="24"/>
                <w:highlight w:val="none"/>
              </w:rPr>
              <w:t>B</w:t>
            </w:r>
            <w:r>
              <w:rPr>
                <w:rFonts w:hint="default" w:ascii="Times New Roman" w:hAnsi="Times New Roman" w:cs="Times New Roman"/>
                <w:color w:val="auto"/>
                <w:spacing w:val="1"/>
                <w:sz w:val="24"/>
                <w:szCs w:val="24"/>
                <w:highlight w:val="none"/>
              </w:rPr>
              <w:t>1</w:t>
            </w:r>
            <w:r>
              <w:rPr>
                <w:rFonts w:hint="default" w:ascii="Times New Roman" w:hAnsi="Times New Roman" w:cs="Times New Roman"/>
                <w:color w:val="auto"/>
                <w:spacing w:val="-2"/>
                <w:sz w:val="24"/>
                <w:szCs w:val="24"/>
                <w:highlight w:val="none"/>
              </w:rPr>
              <w:t>8</w:t>
            </w:r>
            <w:r>
              <w:rPr>
                <w:rFonts w:hint="default" w:ascii="Times New Roman" w:hAnsi="Times New Roman" w:cs="Times New Roman"/>
                <w:color w:val="auto"/>
                <w:spacing w:val="1"/>
                <w:sz w:val="24"/>
                <w:szCs w:val="24"/>
                <w:highlight w:val="none"/>
              </w:rPr>
              <w:t>9</w:t>
            </w:r>
            <w:r>
              <w:rPr>
                <w:rFonts w:hint="default" w:ascii="Times New Roman" w:hAnsi="Times New Roman" w:cs="Times New Roman"/>
                <w:color w:val="auto"/>
                <w:spacing w:val="-2"/>
                <w:sz w:val="24"/>
                <w:szCs w:val="24"/>
                <w:highlight w:val="none"/>
              </w:rPr>
              <w:t>18</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pacing w:val="-2"/>
                <w:sz w:val="24"/>
                <w:szCs w:val="24"/>
                <w:highlight w:val="none"/>
              </w:rPr>
              <w:t>2</w:t>
            </w:r>
            <w:r>
              <w:rPr>
                <w:rFonts w:hint="default" w:ascii="Times New Roman" w:hAnsi="Times New Roman" w:cs="Times New Roman"/>
                <w:color w:val="auto"/>
                <w:spacing w:val="1"/>
                <w:sz w:val="24"/>
                <w:szCs w:val="24"/>
                <w:highlight w:val="none"/>
              </w:rPr>
              <w:t>0</w:t>
            </w:r>
            <w:r>
              <w:rPr>
                <w:rFonts w:hint="default" w:ascii="Times New Roman" w:hAnsi="Times New Roman" w:cs="Times New Roman"/>
                <w:color w:val="auto"/>
                <w:spacing w:val="-2"/>
                <w:sz w:val="24"/>
                <w:szCs w:val="24"/>
                <w:highlight w:val="none"/>
              </w:rPr>
              <w:t>0</w:t>
            </w:r>
            <w:r>
              <w:rPr>
                <w:rFonts w:hint="default" w:ascii="Times New Roman" w:hAnsi="Times New Roman" w:cs="Times New Roman"/>
                <w:color w:val="auto"/>
                <w:spacing w:val="3"/>
                <w:sz w:val="24"/>
                <w:szCs w:val="24"/>
                <w:highlight w:val="none"/>
              </w:rPr>
              <w:t>2</w:t>
            </w:r>
            <w:r>
              <w:rPr>
                <w:rFonts w:hint="default" w:ascii="Times New Roman" w:hAnsi="Times New Roman" w:cs="Times New Roman"/>
                <w:color w:val="auto"/>
                <w:spacing w:val="2"/>
                <w:sz w:val="24"/>
                <w:szCs w:val="24"/>
                <w:highlight w:val="none"/>
              </w:rPr>
              <w:t>）中</w:t>
            </w:r>
            <w:r>
              <w:rPr>
                <w:rFonts w:hint="default" w:ascii="Times New Roman" w:hAnsi="Times New Roman" w:cs="Times New Roman"/>
                <w:color w:val="auto"/>
                <w:spacing w:val="-1"/>
                <w:sz w:val="24"/>
                <w:szCs w:val="24"/>
                <w:highlight w:val="none"/>
              </w:rPr>
              <w:t>一</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pacing w:val="-69"/>
                <w:sz w:val="24"/>
                <w:szCs w:val="24"/>
                <w:highlight w:val="none"/>
              </w:rPr>
              <w:t xml:space="preserve"> </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pacing w:val="2"/>
                <w:sz w:val="24"/>
                <w:szCs w:val="24"/>
                <w:highlight w:val="none"/>
              </w:rPr>
              <w:t>排放</w:t>
            </w:r>
            <w:r>
              <w:rPr>
                <w:rFonts w:hint="default" w:ascii="Times New Roman" w:hAnsi="Times New Roman" w:cs="Times New Roman"/>
                <w:color w:val="auto"/>
                <w:spacing w:val="-1"/>
                <w:sz w:val="24"/>
                <w:szCs w:val="24"/>
                <w:highlight w:val="none"/>
              </w:rPr>
              <w:t>标</w:t>
            </w:r>
            <w:r>
              <w:rPr>
                <w:rFonts w:hint="default" w:ascii="Times New Roman" w:hAnsi="Times New Roman" w:cs="Times New Roman"/>
                <w:color w:val="auto"/>
                <w:spacing w:val="2"/>
                <w:sz w:val="24"/>
                <w:szCs w:val="24"/>
                <w:highlight w:val="none"/>
              </w:rPr>
              <w:t>准，尾水</w:t>
            </w:r>
            <w:r>
              <w:rPr>
                <w:rFonts w:hint="default" w:ascii="Times New Roman" w:hAnsi="Times New Roman" w:cs="Times New Roman"/>
                <w:color w:val="auto"/>
                <w:spacing w:val="-1"/>
                <w:sz w:val="24"/>
                <w:szCs w:val="24"/>
                <w:highlight w:val="none"/>
              </w:rPr>
              <w:t>排</w:t>
            </w:r>
            <w:r>
              <w:rPr>
                <w:rFonts w:hint="default" w:ascii="Times New Roman" w:hAnsi="Times New Roman" w:cs="Times New Roman"/>
                <w:color w:val="auto"/>
                <w:spacing w:val="2"/>
                <w:sz w:val="24"/>
                <w:szCs w:val="24"/>
                <w:highlight w:val="none"/>
              </w:rPr>
              <w:t>放至云台山河</w:t>
            </w:r>
            <w:r>
              <w:rPr>
                <w:color w:val="auto"/>
                <w:highlight w:val="none"/>
              </w:rPr>
              <w:t>。</w:t>
            </w:r>
          </w:p>
          <w:p w14:paraId="6AFBF8AE">
            <w:pPr>
              <w:pStyle w:val="6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cs="Times New Roman"/>
                <w:b/>
                <w:bCs/>
                <w:color w:val="auto"/>
                <w:szCs w:val="21"/>
                <w:highlight w:val="none"/>
                <w:lang w:val="zh-CN"/>
              </w:rPr>
            </w:pPr>
            <w:r>
              <w:rPr>
                <w:rFonts w:hint="default" w:ascii="Times New Roman" w:hAnsi="Times New Roman" w:cs="Times New Roman"/>
                <w:color w:val="auto"/>
                <w:highlight w:val="none"/>
              </w:rPr>
              <w:drawing>
                <wp:inline distT="0" distB="0" distL="114300" distR="114300">
                  <wp:extent cx="5039995" cy="1582420"/>
                  <wp:effectExtent l="0" t="0" r="8255" b="17780"/>
                  <wp:docPr id="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1"/>
                          <pic:cNvPicPr>
                            <a:picLocks noChangeAspect="1"/>
                          </pic:cNvPicPr>
                        </pic:nvPicPr>
                        <pic:blipFill>
                          <a:blip r:embed="rId25"/>
                          <a:srcRect l="3198" t="600" r="9814"/>
                          <a:stretch>
                            <a:fillRect/>
                          </a:stretch>
                        </pic:blipFill>
                        <pic:spPr>
                          <a:xfrm>
                            <a:off x="0" y="0"/>
                            <a:ext cx="5039995" cy="1582420"/>
                          </a:xfrm>
                          <a:prstGeom prst="rect">
                            <a:avLst/>
                          </a:prstGeom>
                          <a:noFill/>
                          <a:ln>
                            <a:noFill/>
                          </a:ln>
                        </pic:spPr>
                      </pic:pic>
                    </a:graphicData>
                  </a:graphic>
                </wp:inline>
              </w:drawing>
            </w:r>
          </w:p>
          <w:p w14:paraId="5F802A23">
            <w:pPr>
              <w:pStyle w:val="48"/>
              <w:bidi w:val="0"/>
              <w:rPr>
                <w:b/>
                <w:bCs/>
                <w:color w:val="auto"/>
                <w:sz w:val="24"/>
                <w:szCs w:val="32"/>
                <w:highlight w:val="none"/>
              </w:rPr>
            </w:pPr>
            <w:r>
              <w:rPr>
                <w:b/>
                <w:bCs/>
                <w:color w:val="auto"/>
                <w:sz w:val="24"/>
                <w:szCs w:val="32"/>
                <w:highlight w:val="none"/>
                <w:lang w:val="zh-CN"/>
              </w:rPr>
              <w:t>图</w:t>
            </w:r>
            <w:r>
              <w:rPr>
                <w:b/>
                <w:bCs/>
                <w:color w:val="auto"/>
                <w:sz w:val="24"/>
                <w:szCs w:val="32"/>
                <w:highlight w:val="none"/>
              </w:rPr>
              <w:t>4-</w:t>
            </w:r>
            <w:r>
              <w:rPr>
                <w:rFonts w:hint="eastAsia"/>
                <w:b/>
                <w:bCs/>
                <w:color w:val="auto"/>
                <w:sz w:val="24"/>
                <w:szCs w:val="32"/>
                <w:highlight w:val="none"/>
                <w:lang w:val="en-US" w:eastAsia="zh-CN"/>
              </w:rPr>
              <w:t>6</w:t>
            </w:r>
            <w:r>
              <w:rPr>
                <w:b/>
                <w:bCs/>
                <w:color w:val="auto"/>
                <w:sz w:val="24"/>
                <w:szCs w:val="32"/>
                <w:highlight w:val="none"/>
              </w:rPr>
              <w:t xml:space="preserve"> </w:t>
            </w:r>
            <w:r>
              <w:rPr>
                <w:rFonts w:hint="eastAsia"/>
                <w:b/>
                <w:bCs/>
                <w:color w:val="auto"/>
                <w:sz w:val="24"/>
                <w:szCs w:val="32"/>
                <w:highlight w:val="none"/>
                <w:lang w:val="en-US" w:eastAsia="zh-CN"/>
              </w:rPr>
              <w:t>空港</w:t>
            </w:r>
            <w:r>
              <w:rPr>
                <w:b/>
                <w:bCs/>
                <w:color w:val="auto"/>
                <w:sz w:val="24"/>
                <w:szCs w:val="32"/>
                <w:highlight w:val="none"/>
              </w:rPr>
              <w:t>污水处理厂工艺流程图</w:t>
            </w:r>
          </w:p>
          <w:p w14:paraId="02B62B6C">
            <w:pPr>
              <w:bidi w:val="0"/>
              <w:rPr>
                <w:rFonts w:hint="eastAsia"/>
                <w:color w:val="auto"/>
              </w:rPr>
            </w:pPr>
            <w:r>
              <w:rPr>
                <w:rFonts w:hint="eastAsia"/>
                <w:color w:val="auto"/>
              </w:rPr>
              <w:t>本项目</w:t>
            </w:r>
            <w:r>
              <w:rPr>
                <w:rFonts w:hint="eastAsia"/>
                <w:color w:val="auto"/>
                <w:lang w:val="en-US" w:eastAsia="zh-CN"/>
              </w:rPr>
              <w:t>建成后全厂</w:t>
            </w:r>
            <w:r>
              <w:rPr>
                <w:rFonts w:hint="eastAsia"/>
                <w:color w:val="auto"/>
              </w:rPr>
              <w:t>废水中主要含有</w:t>
            </w:r>
            <w:r>
              <w:rPr>
                <w:rFonts w:hint="default"/>
                <w:color w:val="auto"/>
              </w:rPr>
              <w:t>COD、SS、NH</w:t>
            </w:r>
            <w:r>
              <w:rPr>
                <w:rFonts w:hint="default"/>
                <w:color w:val="auto"/>
                <w:vertAlign w:val="subscript"/>
              </w:rPr>
              <w:t>3</w:t>
            </w:r>
            <w:r>
              <w:rPr>
                <w:rFonts w:hint="default"/>
                <w:color w:val="auto"/>
              </w:rPr>
              <w:t>-N、TN、TP</w:t>
            </w:r>
            <w:r>
              <w:rPr>
                <w:rFonts w:hint="eastAsia"/>
                <w:color w:val="auto"/>
              </w:rPr>
              <w:t>等指标，均可达到接管标准</w:t>
            </w:r>
            <w:r>
              <w:rPr>
                <w:rFonts w:hint="eastAsia"/>
                <w:color w:val="auto"/>
                <w:lang w:val="en-US" w:eastAsia="zh-CN"/>
              </w:rPr>
              <w:t>，</w:t>
            </w:r>
            <w:r>
              <w:rPr>
                <w:rFonts w:hint="eastAsia"/>
                <w:color w:val="auto"/>
              </w:rPr>
              <w:t>因此</w:t>
            </w:r>
            <w:r>
              <w:rPr>
                <w:rFonts w:hint="eastAsia"/>
                <w:color w:val="auto"/>
                <w:lang w:eastAsia="zh-CN"/>
              </w:rPr>
              <w:t>，</w:t>
            </w:r>
            <w:r>
              <w:rPr>
                <w:rFonts w:hint="eastAsia"/>
                <w:color w:val="auto"/>
              </w:rPr>
              <w:t>本项目废水经污水处理系统预处理后接入空港污水处理厂集中处理，从水质角度考虑是可行的。</w:t>
            </w:r>
          </w:p>
          <w:p w14:paraId="5199B95E">
            <w:pPr>
              <w:bidi w:val="0"/>
              <w:rPr>
                <w:color w:val="auto"/>
              </w:rPr>
            </w:pPr>
            <w:r>
              <w:rPr>
                <w:rFonts w:hint="eastAsia"/>
                <w:color w:val="auto"/>
              </w:rPr>
              <w:t>①</w:t>
            </w:r>
            <w:r>
              <w:rPr>
                <w:color w:val="auto"/>
              </w:rPr>
              <w:t>水量可行性分析</w:t>
            </w:r>
          </w:p>
          <w:p w14:paraId="4093FFF6">
            <w:pPr>
              <w:bidi w:val="0"/>
              <w:rPr>
                <w:rFonts w:hint="eastAsia"/>
                <w:color w:val="auto"/>
                <w:highlight w:val="none"/>
              </w:rPr>
            </w:pPr>
            <w:r>
              <w:rPr>
                <w:rFonts w:hint="eastAsia"/>
                <w:color w:val="auto"/>
                <w:highlight w:val="none"/>
              </w:rPr>
              <w:t>空港污水处理厂二期总规模4万t/d，目前污水处理厂尚余</w:t>
            </w:r>
            <w:r>
              <w:rPr>
                <w:rFonts w:hint="eastAsia"/>
                <w:color w:val="auto"/>
                <w:highlight w:val="none"/>
                <w:lang w:val="en-US" w:eastAsia="zh-CN"/>
              </w:rPr>
              <w:t>60</w:t>
            </w:r>
            <w:r>
              <w:rPr>
                <w:rFonts w:hint="eastAsia"/>
                <w:color w:val="auto"/>
                <w:highlight w:val="none"/>
              </w:rPr>
              <w:t>00t/d，本项目</w:t>
            </w:r>
            <w:r>
              <w:rPr>
                <w:rFonts w:hint="eastAsia"/>
                <w:color w:val="auto"/>
                <w:highlight w:val="none"/>
                <w:lang w:val="en-US" w:eastAsia="zh-CN"/>
              </w:rPr>
              <w:t>完成后，</w:t>
            </w:r>
            <w:r>
              <w:rPr>
                <w:rFonts w:hint="eastAsia"/>
                <w:color w:val="auto"/>
                <w:highlight w:val="none"/>
              </w:rPr>
              <w:t>废水排放量约为</w:t>
            </w:r>
            <w:r>
              <w:rPr>
                <w:rFonts w:hint="eastAsia"/>
                <w:color w:val="auto"/>
                <w:highlight w:val="none"/>
                <w:lang w:val="en-US" w:eastAsia="zh-CN"/>
              </w:rPr>
              <w:t>50</w:t>
            </w:r>
            <w:r>
              <w:rPr>
                <w:rFonts w:hint="eastAsia"/>
                <w:color w:val="auto"/>
                <w:highlight w:val="none"/>
              </w:rPr>
              <w:t>t/a（</w:t>
            </w:r>
            <w:r>
              <w:rPr>
                <w:rFonts w:hint="eastAsia"/>
                <w:color w:val="auto"/>
                <w:highlight w:val="none"/>
                <w:lang w:val="en-US" w:eastAsia="zh-CN"/>
              </w:rPr>
              <w:t>0.1</w:t>
            </w:r>
            <w:r>
              <w:rPr>
                <w:rFonts w:hint="eastAsia"/>
                <w:color w:val="auto"/>
                <w:highlight w:val="none"/>
              </w:rPr>
              <w:t>t/d）</w:t>
            </w:r>
            <w:r>
              <w:rPr>
                <w:rFonts w:hint="eastAsia"/>
                <w:color w:val="auto"/>
                <w:highlight w:val="none"/>
                <w:lang w:eastAsia="zh-CN"/>
              </w:rPr>
              <w:t>，</w:t>
            </w:r>
            <w:r>
              <w:rPr>
                <w:rFonts w:hint="eastAsia"/>
                <w:color w:val="auto"/>
                <w:highlight w:val="none"/>
              </w:rPr>
              <w:t>仅占污水处理厂剩余处理能力的</w:t>
            </w:r>
            <w:r>
              <w:rPr>
                <w:rFonts w:hint="eastAsia"/>
                <w:color w:val="auto"/>
                <w:highlight w:val="none"/>
                <w:lang w:val="en-US" w:eastAsia="zh-CN"/>
              </w:rPr>
              <w:t>0.002</w:t>
            </w:r>
            <w:r>
              <w:rPr>
                <w:rFonts w:hint="eastAsia"/>
                <w:color w:val="auto"/>
                <w:highlight w:val="none"/>
              </w:rPr>
              <w:t>%，能够满足要求。</w:t>
            </w:r>
          </w:p>
          <w:p w14:paraId="08159960">
            <w:pPr>
              <w:bidi w:val="0"/>
              <w:rPr>
                <w:color w:val="auto"/>
              </w:rPr>
            </w:pPr>
            <w:r>
              <w:rPr>
                <w:rFonts w:hint="eastAsia"/>
                <w:color w:val="auto"/>
                <w:highlight w:val="none"/>
                <w:lang w:val="en-US" w:eastAsia="zh-CN"/>
              </w:rPr>
              <w:t>②</w:t>
            </w:r>
            <w:r>
              <w:rPr>
                <w:color w:val="auto"/>
                <w:highlight w:val="none"/>
              </w:rPr>
              <w:t>管网、</w:t>
            </w:r>
            <w:r>
              <w:rPr>
                <w:color w:val="auto"/>
              </w:rPr>
              <w:t>位置</w:t>
            </w:r>
            <w:r>
              <w:rPr>
                <w:rFonts w:hint="eastAsia"/>
                <w:color w:val="auto"/>
                <w:lang w:eastAsia="zh-CN"/>
              </w:rPr>
              <w:t>可行性</w:t>
            </w:r>
            <w:r>
              <w:rPr>
                <w:color w:val="auto"/>
              </w:rPr>
              <w:t>分析</w:t>
            </w:r>
          </w:p>
          <w:p w14:paraId="3FA9AEF3">
            <w:pPr>
              <w:bidi w:val="0"/>
              <w:rPr>
                <w:color w:val="auto"/>
              </w:rPr>
            </w:pPr>
            <w:r>
              <w:rPr>
                <w:color w:val="auto"/>
              </w:rPr>
              <w:t>本项目位于</w:t>
            </w:r>
            <w:r>
              <w:rPr>
                <w:rFonts w:hint="eastAsia"/>
                <w:color w:val="auto"/>
              </w:rPr>
              <w:t>南京市</w:t>
            </w:r>
            <w:r>
              <w:rPr>
                <w:rFonts w:hint="eastAsia"/>
                <w:color w:val="auto"/>
                <w:lang w:val="en-US" w:eastAsia="zh-CN"/>
              </w:rPr>
              <w:t>江宁经济技术开发区横溪街道乐园路7号</w:t>
            </w:r>
            <w:r>
              <w:rPr>
                <w:color w:val="auto"/>
              </w:rPr>
              <w:t>，本项目在现有厂房内进行</w:t>
            </w:r>
            <w:r>
              <w:rPr>
                <w:rFonts w:hint="eastAsia"/>
                <w:color w:val="auto"/>
                <w:lang w:eastAsia="zh-CN"/>
              </w:rPr>
              <w:t>，</w:t>
            </w:r>
            <w:r>
              <w:rPr>
                <w:color w:val="auto"/>
              </w:rPr>
              <w:t>依托现有管网，区域污水管网已经铺设到位，项目污水能够排入</w:t>
            </w:r>
            <w:r>
              <w:rPr>
                <w:rFonts w:hint="eastAsia"/>
                <w:color w:val="auto"/>
              </w:rPr>
              <w:t>空港</w:t>
            </w:r>
            <w:r>
              <w:rPr>
                <w:color w:val="auto"/>
              </w:rPr>
              <w:t>污水处理厂。</w:t>
            </w:r>
          </w:p>
          <w:p w14:paraId="6BA96728">
            <w:pPr>
              <w:bidi w:val="0"/>
              <w:rPr>
                <w:b w:val="0"/>
                <w:bCs/>
                <w:color w:val="auto"/>
                <w:highlight w:val="none"/>
              </w:rPr>
            </w:pPr>
            <w:r>
              <w:rPr>
                <w:color w:val="auto"/>
              </w:rPr>
              <w:t>综上所述，本项目废水排放量在水质、水量上均满足</w:t>
            </w:r>
            <w:r>
              <w:rPr>
                <w:rFonts w:hint="eastAsia"/>
                <w:color w:val="auto"/>
              </w:rPr>
              <w:t>空港</w:t>
            </w:r>
            <w:r>
              <w:rPr>
                <w:color w:val="auto"/>
              </w:rPr>
              <w:t>污水处理厂的接管标准，从运行时间、处理余量、接管要求等方面分析本项目废水具有接管可行性。故本项目废水经处理达标后接管至</w:t>
            </w:r>
            <w:r>
              <w:rPr>
                <w:rFonts w:hint="eastAsia"/>
                <w:color w:val="auto"/>
              </w:rPr>
              <w:t>空港</w:t>
            </w:r>
            <w:r>
              <w:rPr>
                <w:color w:val="auto"/>
              </w:rPr>
              <w:t>污水处理厂，经</w:t>
            </w:r>
            <w:r>
              <w:rPr>
                <w:b w:val="0"/>
                <w:bCs/>
                <w:color w:val="auto"/>
                <w:highlight w:val="none"/>
              </w:rPr>
              <w:t>深度处理达到</w:t>
            </w:r>
            <w:r>
              <w:rPr>
                <w:bCs/>
                <w:color w:val="auto"/>
                <w:highlight w:val="none"/>
                <w:lang w:val="zh-CN"/>
              </w:rPr>
              <w:t>《城镇污水处理厂污染物排放标准》（</w:t>
            </w:r>
            <w:r>
              <w:rPr>
                <w:rFonts w:hint="eastAsia"/>
                <w:bCs/>
                <w:color w:val="auto"/>
                <w:highlight w:val="none"/>
                <w:lang w:val="zh-CN"/>
              </w:rPr>
              <w:t>DB32/4440—2022</w:t>
            </w:r>
            <w:r>
              <w:rPr>
                <w:bCs/>
                <w:color w:val="auto"/>
                <w:highlight w:val="none"/>
                <w:lang w:val="zh-CN"/>
              </w:rPr>
              <w:t>）表1中</w:t>
            </w:r>
            <w:r>
              <w:rPr>
                <w:rFonts w:hint="eastAsia"/>
                <w:bCs/>
                <w:color w:val="auto"/>
                <w:highlight w:val="none"/>
                <w:lang w:val="en-US" w:eastAsia="zh-CN"/>
              </w:rPr>
              <w:t>C</w:t>
            </w:r>
            <w:r>
              <w:rPr>
                <w:bCs/>
                <w:color w:val="auto"/>
                <w:highlight w:val="none"/>
                <w:lang w:val="zh-CN"/>
              </w:rPr>
              <w:t>标准</w:t>
            </w:r>
            <w:r>
              <w:rPr>
                <w:b w:val="0"/>
                <w:bCs/>
                <w:color w:val="auto"/>
                <w:highlight w:val="none"/>
              </w:rPr>
              <w:t>后排入</w:t>
            </w:r>
            <w:r>
              <w:rPr>
                <w:rFonts w:hint="eastAsia"/>
                <w:b w:val="0"/>
                <w:bCs/>
                <w:color w:val="auto"/>
                <w:highlight w:val="none"/>
                <w:lang w:val="en-US" w:eastAsia="zh-CN"/>
              </w:rPr>
              <w:t>云台山</w:t>
            </w:r>
            <w:r>
              <w:rPr>
                <w:b w:val="0"/>
                <w:bCs/>
                <w:color w:val="auto"/>
                <w:highlight w:val="none"/>
              </w:rPr>
              <w:t>河，对周围水环境影响较小。</w:t>
            </w:r>
          </w:p>
          <w:p w14:paraId="13E4E82C">
            <w:pPr>
              <w:bidi w:val="0"/>
              <w:rPr>
                <w:rFonts w:hint="eastAsia" w:eastAsia="宋体"/>
                <w:b/>
                <w:bCs/>
                <w:color w:val="auto"/>
                <w:highlight w:val="none"/>
                <w:lang w:val="en-US" w:eastAsia="zh-CN"/>
              </w:rPr>
            </w:pPr>
            <w:r>
              <w:rPr>
                <w:b/>
                <w:bCs/>
                <w:color w:val="auto"/>
                <w:highlight w:val="none"/>
              </w:rPr>
              <w:t>（</w:t>
            </w:r>
            <w:r>
              <w:rPr>
                <w:rFonts w:hint="eastAsia"/>
                <w:b/>
                <w:bCs/>
                <w:color w:val="auto"/>
                <w:highlight w:val="none"/>
                <w:lang w:val="en-US" w:eastAsia="zh-CN"/>
              </w:rPr>
              <w:t>4</w:t>
            </w:r>
            <w:r>
              <w:rPr>
                <w:b/>
                <w:bCs/>
                <w:color w:val="auto"/>
                <w:highlight w:val="none"/>
              </w:rPr>
              <w:t>）</w:t>
            </w:r>
            <w:r>
              <w:rPr>
                <w:rFonts w:hint="eastAsia"/>
                <w:b/>
                <w:bCs/>
                <w:color w:val="auto"/>
                <w:highlight w:val="none"/>
                <w:lang w:val="en-US" w:eastAsia="zh-CN"/>
              </w:rPr>
              <w:t>监测计划</w:t>
            </w:r>
          </w:p>
          <w:p w14:paraId="69B49F18">
            <w:pPr>
              <w:ind w:firstLine="480"/>
              <w:rPr>
                <w:rFonts w:hint="eastAsia"/>
                <w:color w:val="auto"/>
                <w:highlight w:val="none"/>
              </w:rPr>
            </w:pPr>
            <w:r>
              <w:rPr>
                <w:rFonts w:hint="eastAsia"/>
                <w:color w:val="auto"/>
                <w:highlight w:val="none"/>
              </w:rPr>
              <w:t>本项目实施后，例行监测参照《排污单位自行监测技术指南 总则》（HJ 819-2017）中相关频次要求执行。</w:t>
            </w:r>
          </w:p>
          <w:p w14:paraId="7DFF84BA">
            <w:pPr>
              <w:pStyle w:val="52"/>
              <w:bidi w:val="0"/>
              <w:ind w:left="5518" w:leftChars="0" w:hanging="5518" w:firstLineChars="0"/>
              <w:rPr>
                <w:rFonts w:hint="default"/>
                <w:color w:val="auto"/>
              </w:rPr>
            </w:pPr>
            <w:r>
              <w:rPr>
                <w:rFonts w:hint="default"/>
                <w:color w:val="auto"/>
              </w:rPr>
              <w:t>废水监测计划表</w:t>
            </w:r>
          </w:p>
          <w:tbl>
            <w:tblPr>
              <w:tblStyle w:val="33"/>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207"/>
              <w:gridCol w:w="2296"/>
              <w:gridCol w:w="1378"/>
              <w:gridCol w:w="2733"/>
            </w:tblGrid>
            <w:tr w14:paraId="0F4C8F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 w:hRule="atLeast"/>
                <w:jc w:val="center"/>
              </w:trPr>
              <w:tc>
                <w:tcPr>
                  <w:tcW w:w="430" w:type="pct"/>
                  <w:vAlign w:val="center"/>
                </w:tcPr>
                <w:p w14:paraId="462459C2">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类别</w:t>
                  </w:r>
                </w:p>
              </w:tc>
              <w:tc>
                <w:tcPr>
                  <w:tcW w:w="724" w:type="pct"/>
                  <w:vAlign w:val="center"/>
                </w:tcPr>
                <w:p w14:paraId="2FBFD12D">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监测位置</w:t>
                  </w:r>
                </w:p>
              </w:tc>
              <w:tc>
                <w:tcPr>
                  <w:tcW w:w="1377" w:type="pct"/>
                  <w:vAlign w:val="center"/>
                </w:tcPr>
                <w:p w14:paraId="433626D2">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监测项目</w:t>
                  </w:r>
                </w:p>
              </w:tc>
              <w:tc>
                <w:tcPr>
                  <w:tcW w:w="827" w:type="pct"/>
                  <w:vAlign w:val="center"/>
                </w:tcPr>
                <w:p w14:paraId="14D670B2">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监测频次</w:t>
                  </w:r>
                </w:p>
              </w:tc>
              <w:tc>
                <w:tcPr>
                  <w:tcW w:w="1640" w:type="pct"/>
                  <w:vAlign w:val="center"/>
                </w:tcPr>
                <w:p w14:paraId="652A17E8">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highlight w:val="none"/>
                    </w:rPr>
                  </w:pPr>
                  <w:r>
                    <w:rPr>
                      <w:b/>
                      <w:bCs/>
                      <w:color w:val="auto"/>
                      <w:highlight w:val="none"/>
                    </w:rPr>
                    <w:t>执行标准</w:t>
                  </w:r>
                </w:p>
              </w:tc>
            </w:tr>
            <w:tr w14:paraId="13677A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47" w:hRule="atLeast"/>
                <w:jc w:val="center"/>
              </w:trPr>
              <w:tc>
                <w:tcPr>
                  <w:tcW w:w="430" w:type="pct"/>
                  <w:vAlign w:val="center"/>
                </w:tcPr>
                <w:p w14:paraId="7D9EDA8C">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color w:val="auto"/>
                      <w:highlight w:val="none"/>
                    </w:rPr>
                  </w:pPr>
                  <w:r>
                    <w:rPr>
                      <w:color w:val="auto"/>
                      <w:highlight w:val="none"/>
                    </w:rPr>
                    <w:t>综合废水</w:t>
                  </w:r>
                </w:p>
              </w:tc>
              <w:tc>
                <w:tcPr>
                  <w:tcW w:w="724" w:type="pct"/>
                  <w:vAlign w:val="center"/>
                </w:tcPr>
                <w:p w14:paraId="1763BE4B">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color w:val="auto"/>
                      <w:highlight w:val="none"/>
                    </w:rPr>
                  </w:pPr>
                  <w:r>
                    <w:rPr>
                      <w:color w:val="auto"/>
                      <w:highlight w:val="none"/>
                    </w:rPr>
                    <w:t>废水总排口</w:t>
                  </w:r>
                </w:p>
              </w:tc>
              <w:tc>
                <w:tcPr>
                  <w:tcW w:w="1377" w:type="pct"/>
                  <w:vAlign w:val="center"/>
                </w:tcPr>
                <w:p w14:paraId="6480846F">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color w:val="auto"/>
                      <w:highlight w:val="none"/>
                      <w:lang w:val="en-US"/>
                    </w:rPr>
                  </w:pPr>
                  <w:r>
                    <w:rPr>
                      <w:rFonts w:hint="eastAsia"/>
                      <w:color w:val="auto"/>
                      <w:highlight w:val="none"/>
                    </w:rPr>
                    <w:t>pH</w:t>
                  </w:r>
                  <w:r>
                    <w:rPr>
                      <w:rFonts w:hint="eastAsia"/>
                      <w:color w:val="auto"/>
                      <w:highlight w:val="none"/>
                      <w:lang w:eastAsia="zh-CN"/>
                    </w:rPr>
                    <w:t>、</w:t>
                  </w:r>
                  <w:r>
                    <w:rPr>
                      <w:color w:val="auto"/>
                      <w:highlight w:val="none"/>
                    </w:rPr>
                    <w:t>COD</w:t>
                  </w:r>
                  <w:r>
                    <w:rPr>
                      <w:rFonts w:hint="eastAsia"/>
                      <w:color w:val="auto"/>
                      <w:highlight w:val="none"/>
                      <w:lang w:eastAsia="zh-CN"/>
                    </w:rPr>
                    <w:t>、</w:t>
                  </w:r>
                  <w:r>
                    <w:rPr>
                      <w:color w:val="auto"/>
                      <w:highlight w:val="none"/>
                    </w:rPr>
                    <w:t>SS、</w:t>
                  </w:r>
                  <w:r>
                    <w:rPr>
                      <w:rFonts w:hint="eastAsia"/>
                      <w:color w:val="auto"/>
                      <w:highlight w:val="none"/>
                      <w:lang w:val="en-US" w:eastAsia="zh-CN"/>
                    </w:rPr>
                    <w:t>氨氮、总磷、总氮</w:t>
                  </w:r>
                </w:p>
              </w:tc>
              <w:tc>
                <w:tcPr>
                  <w:tcW w:w="827" w:type="pct"/>
                  <w:vAlign w:val="center"/>
                </w:tcPr>
                <w:p w14:paraId="3C24C074">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default" w:ascii="Times New Roman" w:hAnsi="Times New Roman" w:eastAsia="宋体" w:cs="Times New Roman"/>
                      <w:color w:val="auto"/>
                      <w:highlight w:val="none"/>
                      <w:lang w:val="en-US" w:eastAsia="zh-CN"/>
                    </w:rPr>
                  </w:pPr>
                  <w:r>
                    <w:rPr>
                      <w:rFonts w:hint="eastAsia"/>
                      <w:color w:val="auto"/>
                      <w:highlight w:val="none"/>
                    </w:rPr>
                    <w:t>1次/年</w:t>
                  </w:r>
                </w:p>
              </w:tc>
              <w:tc>
                <w:tcPr>
                  <w:tcW w:w="1640" w:type="pct"/>
                  <w:vAlign w:val="center"/>
                </w:tcPr>
                <w:p w14:paraId="3AF3C445">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Times New Roman" w:hAnsi="Times New Roman" w:eastAsia="宋体" w:cs="Times New Roman"/>
                      <w:color w:val="auto"/>
                      <w:highlight w:val="none"/>
                    </w:rPr>
                  </w:pPr>
                  <w:r>
                    <w:rPr>
                      <w:rFonts w:hint="eastAsia"/>
                      <w:color w:val="auto"/>
                      <w:highlight w:val="none"/>
                      <w:lang w:val="zh-CN"/>
                    </w:rPr>
                    <w:t>《污水综合排放标准》（GB8978-1996）、《污水排入城镇下水道水质标准》（GB/T31962-2015）</w:t>
                  </w:r>
                </w:p>
              </w:tc>
            </w:tr>
          </w:tbl>
          <w:p w14:paraId="1E5A8D02">
            <w:pPr>
              <w:bidi w:val="0"/>
              <w:rPr>
                <w:b/>
                <w:bCs/>
                <w:color w:val="auto"/>
                <w:highlight w:val="none"/>
              </w:rPr>
            </w:pPr>
            <w:r>
              <w:rPr>
                <w:rFonts w:hint="eastAsia"/>
                <w:b/>
                <w:bCs/>
                <w:color w:val="auto"/>
                <w:highlight w:val="none"/>
                <w:lang w:eastAsia="zh-CN"/>
              </w:rPr>
              <w:t>（</w:t>
            </w:r>
            <w:r>
              <w:rPr>
                <w:rFonts w:hint="eastAsia"/>
                <w:b/>
                <w:bCs/>
                <w:color w:val="auto"/>
                <w:highlight w:val="none"/>
                <w:lang w:val="en-US" w:eastAsia="zh-CN"/>
              </w:rPr>
              <w:t>5</w:t>
            </w:r>
            <w:r>
              <w:rPr>
                <w:rFonts w:hint="eastAsia"/>
                <w:b/>
                <w:bCs/>
                <w:color w:val="auto"/>
                <w:highlight w:val="none"/>
                <w:lang w:eastAsia="zh-CN"/>
              </w:rPr>
              <w:t>）</w:t>
            </w:r>
            <w:r>
              <w:rPr>
                <w:b/>
                <w:bCs/>
                <w:color w:val="auto"/>
                <w:highlight w:val="none"/>
              </w:rPr>
              <w:t>地表水环境影响分析</w:t>
            </w:r>
          </w:p>
          <w:p w14:paraId="23B8069A">
            <w:pPr>
              <w:bidi w:val="0"/>
              <w:rPr>
                <w:color w:val="auto"/>
                <w:sz w:val="24"/>
                <w:highlight w:val="none"/>
              </w:rPr>
            </w:pPr>
            <w:r>
              <w:rPr>
                <w:rFonts w:hint="eastAsia"/>
                <w:color w:val="auto"/>
                <w:highlight w:val="none"/>
                <w:lang w:val="en-US" w:eastAsia="zh-CN"/>
              </w:rPr>
              <w:t>本项目</w:t>
            </w:r>
            <w:r>
              <w:rPr>
                <w:color w:val="auto"/>
                <w:highlight w:val="none"/>
              </w:rPr>
              <w:t>采取</w:t>
            </w:r>
            <w:r>
              <w:rPr>
                <w:rFonts w:hint="eastAsia"/>
                <w:color w:val="auto"/>
                <w:highlight w:val="none"/>
              </w:rPr>
              <w:t>“</w:t>
            </w:r>
            <w:r>
              <w:rPr>
                <w:color w:val="auto"/>
                <w:highlight w:val="none"/>
              </w:rPr>
              <w:t>雨污分流、清污分流</w:t>
            </w:r>
            <w:r>
              <w:rPr>
                <w:rFonts w:hint="eastAsia"/>
                <w:color w:val="auto"/>
                <w:highlight w:val="none"/>
              </w:rPr>
              <w:t>”</w:t>
            </w:r>
            <w:r>
              <w:rPr>
                <w:color w:val="auto"/>
                <w:highlight w:val="none"/>
              </w:rPr>
              <w:t>。雨水经雨水管网收集排入市政雨水管网；</w:t>
            </w:r>
            <w:bookmarkStart w:id="141" w:name="sys18403534"/>
            <w:r>
              <w:rPr>
                <w:rFonts w:hint="eastAsia" w:ascii="宋体" w:hAnsi="宋体" w:eastAsia="宋体" w:cs="宋体"/>
                <w:color w:val="auto"/>
                <w:sz w:val="24"/>
                <w:highlight w:val="none"/>
              </w:rPr>
              <w:t>本项目生活污水经化粪池处理进入市政污水管网接管至空港污水处理厂</w:t>
            </w:r>
            <w:r>
              <w:rPr>
                <w:color w:val="auto"/>
                <w:highlight w:val="none"/>
              </w:rPr>
              <w:t>。</w:t>
            </w:r>
            <w:bookmarkEnd w:id="141"/>
            <w:r>
              <w:rPr>
                <w:color w:val="auto"/>
                <w:highlight w:val="none"/>
              </w:rPr>
              <w:t>本项目废水可达到</w:t>
            </w:r>
            <w:r>
              <w:rPr>
                <w:rFonts w:hint="eastAsia" w:ascii="宋体" w:hAnsi="宋体" w:eastAsia="宋体" w:cs="宋体"/>
                <w:color w:val="auto"/>
                <w:sz w:val="24"/>
                <w:highlight w:val="none"/>
              </w:rPr>
              <w:t>空港</w:t>
            </w:r>
            <w:r>
              <w:rPr>
                <w:rFonts w:hint="eastAsia"/>
                <w:color w:val="auto"/>
                <w:highlight w:val="none"/>
                <w:lang w:eastAsia="zh-CN"/>
              </w:rPr>
              <w:t>污水处理厂</w:t>
            </w:r>
            <w:r>
              <w:rPr>
                <w:color w:val="auto"/>
                <w:highlight w:val="none"/>
              </w:rPr>
              <w:t>接管标准，且本项目水量较小，不会影响污水处理厂处理负荷，</w:t>
            </w:r>
            <w:r>
              <w:rPr>
                <w:color w:val="auto"/>
                <w:sz w:val="24"/>
                <w:highlight w:val="none"/>
              </w:rPr>
              <w:t>综上所述，本项目的污水得到合理处置，对受纳水体</w:t>
            </w:r>
            <w:r>
              <w:rPr>
                <w:rFonts w:hint="eastAsia"/>
                <w:b w:val="0"/>
                <w:bCs/>
                <w:color w:val="auto"/>
                <w:sz w:val="24"/>
                <w:highlight w:val="none"/>
                <w:lang w:val="en-US" w:eastAsia="zh-CN"/>
              </w:rPr>
              <w:t>云台山</w:t>
            </w:r>
            <w:r>
              <w:rPr>
                <w:b w:val="0"/>
                <w:bCs/>
                <w:color w:val="auto"/>
                <w:sz w:val="24"/>
                <w:highlight w:val="none"/>
              </w:rPr>
              <w:t>河</w:t>
            </w:r>
            <w:r>
              <w:rPr>
                <w:color w:val="auto"/>
                <w:sz w:val="24"/>
                <w:highlight w:val="none"/>
              </w:rPr>
              <w:t>影响较小，不会改变其水环境功能级别，水质功能可维持现状。</w:t>
            </w:r>
          </w:p>
          <w:p w14:paraId="0C460646">
            <w:pPr>
              <w:bidi w:val="0"/>
              <w:rPr>
                <w:b/>
                <w:bCs/>
                <w:color w:val="auto"/>
                <w:highlight w:val="none"/>
              </w:rPr>
            </w:pPr>
            <w:r>
              <w:rPr>
                <w:rFonts w:hint="eastAsia"/>
                <w:b/>
                <w:bCs/>
                <w:color w:val="auto"/>
                <w:highlight w:val="none"/>
                <w:lang w:eastAsia="zh-CN"/>
              </w:rPr>
              <w:t>3.</w:t>
            </w:r>
            <w:r>
              <w:rPr>
                <w:b/>
                <w:bCs/>
                <w:color w:val="auto"/>
                <w:highlight w:val="none"/>
              </w:rPr>
              <w:t>噪声</w:t>
            </w:r>
          </w:p>
          <w:p w14:paraId="491A2EE6">
            <w:pPr>
              <w:bidi w:val="0"/>
              <w:rPr>
                <w:b/>
                <w:bCs/>
                <w:color w:val="auto"/>
                <w:highlight w:val="none"/>
              </w:rPr>
            </w:pPr>
            <w:r>
              <w:rPr>
                <w:b/>
                <w:bCs/>
                <w:color w:val="auto"/>
                <w:highlight w:val="none"/>
              </w:rPr>
              <w:t>（1）</w:t>
            </w:r>
            <w:r>
              <w:rPr>
                <w:b/>
                <w:bCs/>
                <w:color w:val="auto"/>
                <w:sz w:val="24"/>
                <w:highlight w:val="none"/>
              </w:rPr>
              <w:t>源强</w:t>
            </w:r>
          </w:p>
          <w:p w14:paraId="7DA39AC8">
            <w:pPr>
              <w:bidi w:val="0"/>
              <w:rPr>
                <w:color w:val="auto"/>
                <w:highlight w:val="none"/>
              </w:rPr>
            </w:pPr>
            <w:r>
              <w:rPr>
                <w:rFonts w:hint="eastAsia"/>
                <w:color w:val="auto"/>
                <w:highlight w:val="none"/>
                <w:lang w:val="en-US" w:eastAsia="zh-CN"/>
              </w:rPr>
              <w:t>本项目</w:t>
            </w:r>
            <w:r>
              <w:rPr>
                <w:rFonts w:hint="eastAsia"/>
                <w:color w:val="auto"/>
                <w:highlight w:val="none"/>
              </w:rPr>
              <w:t>无土建施工期，因此主要声环境影响</w:t>
            </w:r>
            <w:r>
              <w:rPr>
                <w:rFonts w:hint="eastAsia"/>
                <w:color w:val="auto"/>
                <w:highlight w:val="none"/>
                <w:lang w:eastAsia="zh-CN"/>
              </w:rPr>
              <w:t>来自</w:t>
            </w:r>
            <w:r>
              <w:rPr>
                <w:rFonts w:hint="eastAsia"/>
                <w:color w:val="auto"/>
                <w:highlight w:val="none"/>
              </w:rPr>
              <w:t>生产时设备噪声；本次</w:t>
            </w:r>
            <w:r>
              <w:rPr>
                <w:rFonts w:hint="eastAsia"/>
                <w:color w:val="auto"/>
                <w:highlight w:val="none"/>
                <w:lang w:val="en-US" w:eastAsia="zh-CN"/>
              </w:rPr>
              <w:t>产噪</w:t>
            </w:r>
            <w:r>
              <w:rPr>
                <w:rFonts w:hint="eastAsia"/>
                <w:color w:val="auto"/>
                <w:highlight w:val="none"/>
              </w:rPr>
              <w:t>设备主要</w:t>
            </w:r>
            <w:r>
              <w:rPr>
                <w:rFonts w:hint="eastAsia"/>
                <w:color w:val="auto"/>
                <w:highlight w:val="none"/>
                <w:lang w:val="en-US" w:eastAsia="zh-CN"/>
              </w:rPr>
              <w:t>为</w:t>
            </w:r>
            <w:r>
              <w:rPr>
                <w:rFonts w:hint="default"/>
                <w:color w:val="auto"/>
                <w:vertAlign w:val="baseline"/>
                <w:lang w:val="en-US" w:eastAsia="zh-CN"/>
              </w:rPr>
              <w:t>电池重物冲击试验机</w:t>
            </w:r>
            <w:r>
              <w:rPr>
                <w:rFonts w:hint="eastAsia"/>
                <w:color w:val="auto"/>
                <w:highlight w:val="none"/>
                <w:lang w:val="en-US" w:eastAsia="zh-CN"/>
              </w:rPr>
              <w:t>等</w:t>
            </w:r>
            <w:r>
              <w:rPr>
                <w:rFonts w:hint="eastAsia"/>
                <w:color w:val="auto"/>
                <w:highlight w:val="none"/>
              </w:rPr>
              <w:t>，其设备噪声值约</w:t>
            </w:r>
            <w:r>
              <w:rPr>
                <w:rFonts w:hint="eastAsia"/>
                <w:color w:val="auto"/>
                <w:highlight w:val="none"/>
                <w:lang w:val="en-US" w:eastAsia="zh-CN"/>
              </w:rPr>
              <w:t>75</w:t>
            </w:r>
            <w:r>
              <w:rPr>
                <w:rFonts w:hint="eastAsia"/>
                <w:color w:val="auto"/>
                <w:highlight w:val="none"/>
              </w:rPr>
              <w:t>dB，上述噪声源均为固定源，均位于室内，噪声源强调查</w:t>
            </w:r>
            <w:r>
              <w:rPr>
                <w:color w:val="auto"/>
                <w:highlight w:val="none"/>
              </w:rPr>
              <w:t>具体见表4-</w:t>
            </w:r>
            <w:r>
              <w:rPr>
                <w:rFonts w:hint="eastAsia"/>
                <w:color w:val="auto"/>
                <w:highlight w:val="none"/>
                <w:lang w:val="en-US" w:eastAsia="zh-CN"/>
              </w:rPr>
              <w:t>9</w:t>
            </w:r>
            <w:r>
              <w:rPr>
                <w:color w:val="auto"/>
                <w:highlight w:val="none"/>
              </w:rPr>
              <w:t>。</w:t>
            </w:r>
          </w:p>
          <w:p w14:paraId="4273DC66">
            <w:pPr>
              <w:bidi w:val="0"/>
              <w:rPr>
                <w:rStyle w:val="47"/>
                <w:rFonts w:hint="default" w:ascii="Times New Roman" w:hAnsi="Times New Roman" w:eastAsia="黑体"/>
                <w:color w:val="auto"/>
                <w:sz w:val="30"/>
                <w:szCs w:val="30"/>
                <w:highlight w:val="none"/>
                <w:vertAlign w:val="baseline"/>
              </w:rPr>
            </w:pPr>
          </w:p>
          <w:p w14:paraId="0E15E032">
            <w:pPr>
              <w:bidi w:val="0"/>
              <w:rPr>
                <w:rStyle w:val="47"/>
                <w:rFonts w:hint="default" w:ascii="Times New Roman" w:hAnsi="Times New Roman" w:eastAsia="黑体"/>
                <w:color w:val="auto"/>
                <w:sz w:val="30"/>
                <w:szCs w:val="30"/>
                <w:highlight w:val="none"/>
                <w:vertAlign w:val="baseline"/>
              </w:rPr>
            </w:pPr>
          </w:p>
        </w:tc>
      </w:tr>
    </w:tbl>
    <w:p w14:paraId="0F4CA096">
      <w:pPr>
        <w:pStyle w:val="29"/>
        <w:spacing w:before="0" w:beforeAutospacing="0" w:after="0" w:afterAutospacing="0" w:line="360" w:lineRule="auto"/>
        <w:ind w:firstLine="0" w:firstLineChars="0"/>
        <w:jc w:val="center"/>
        <w:outlineLvl w:val="1"/>
        <w:rPr>
          <w:rStyle w:val="47"/>
          <w:rFonts w:hint="default" w:ascii="Times New Roman" w:hAnsi="Times New Roman" w:eastAsia="黑体"/>
          <w:color w:val="auto"/>
          <w:sz w:val="30"/>
          <w:szCs w:val="30"/>
          <w:highlight w:val="none"/>
        </w:rPr>
        <w:sectPr>
          <w:pgSz w:w="11907" w:h="16840"/>
          <w:pgMar w:top="1587" w:right="1531" w:bottom="1616" w:left="1531" w:header="851" w:footer="850" w:gutter="0"/>
          <w:pgBorders>
            <w:top w:val="none" w:sz="0" w:space="0"/>
            <w:left w:val="none" w:sz="0" w:space="0"/>
            <w:bottom w:val="none" w:sz="0" w:space="0"/>
            <w:right w:val="none" w:sz="0" w:space="0"/>
          </w:pgBorders>
          <w:pgNumType w:fmt="decimal"/>
          <w:cols w:space="0" w:num="1"/>
          <w:rtlGutter w:val="0"/>
          <w:docGrid w:linePitch="312" w:charSpace="0"/>
        </w:sectPr>
      </w:pPr>
      <w:bookmarkStart w:id="142" w:name="pindex1846"/>
      <w:bookmarkEnd w:id="142"/>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2400"/>
      </w:tblGrid>
      <w:tr w14:paraId="3CB3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2" w:hRule="atLeast"/>
        </w:trPr>
        <w:tc>
          <w:tcPr>
            <w:tcW w:w="230" w:type="pct"/>
            <w:vAlign w:val="center"/>
          </w:tcPr>
          <w:p w14:paraId="5D867E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highlight w:val="none"/>
              </w:rPr>
            </w:pPr>
            <w:r>
              <w:rPr>
                <w:b/>
                <w:bCs/>
                <w:color w:val="auto"/>
                <w:kern w:val="0"/>
                <w:highlight w:val="none"/>
              </w:rPr>
              <w:t>运营期环境影响和保护措施</w:t>
            </w:r>
          </w:p>
        </w:tc>
        <w:tc>
          <w:tcPr>
            <w:tcW w:w="4769" w:type="pct"/>
          </w:tcPr>
          <w:p w14:paraId="6B350628">
            <w:pPr>
              <w:pStyle w:val="52"/>
              <w:bidi w:val="0"/>
              <w:ind w:left="5518" w:leftChars="0" w:hanging="5518" w:firstLineChars="0"/>
              <w:rPr>
                <w:rFonts w:hint="default"/>
                <w:color w:val="auto"/>
              </w:rPr>
            </w:pPr>
            <w:r>
              <w:rPr>
                <w:color w:val="auto"/>
              </w:rPr>
              <w:t>工业企业噪声源强调查清单（室内声源）</w:t>
            </w:r>
          </w:p>
          <w:tbl>
            <w:tblPr>
              <w:tblStyle w:val="33"/>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58"/>
              <w:gridCol w:w="702"/>
              <w:gridCol w:w="1282"/>
              <w:gridCol w:w="1116"/>
              <w:gridCol w:w="1218"/>
              <w:gridCol w:w="954"/>
              <w:gridCol w:w="882"/>
              <w:gridCol w:w="576"/>
              <w:gridCol w:w="959"/>
              <w:gridCol w:w="945"/>
              <w:gridCol w:w="602"/>
              <w:gridCol w:w="884"/>
              <w:gridCol w:w="901"/>
              <w:gridCol w:w="702"/>
            </w:tblGrid>
            <w:tr w14:paraId="289ADB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8" w:hRule="atLeast"/>
              </w:trPr>
              <w:tc>
                <w:tcPr>
                  <w:tcW w:w="187" w:type="pct"/>
                  <w:vMerge w:val="restart"/>
                  <w:tcBorders>
                    <w:tl2br w:val="nil"/>
                    <w:tr2bl w:val="nil"/>
                  </w:tcBorders>
                  <w:shd w:val="clear" w:color="auto" w:fill="auto"/>
                  <w:noWrap/>
                  <w:vAlign w:val="center"/>
                </w:tcPr>
                <w:p w14:paraId="34A45873">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序号</w:t>
                  </w:r>
                </w:p>
              </w:tc>
              <w:tc>
                <w:tcPr>
                  <w:tcW w:w="288" w:type="pct"/>
                  <w:vMerge w:val="restart"/>
                  <w:tcBorders>
                    <w:tl2br w:val="nil"/>
                    <w:tr2bl w:val="nil"/>
                  </w:tcBorders>
                  <w:shd w:val="clear" w:color="auto" w:fill="auto"/>
                  <w:noWrap/>
                  <w:vAlign w:val="center"/>
                </w:tcPr>
                <w:p w14:paraId="17292587">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建筑物名称</w:t>
                  </w:r>
                </w:p>
              </w:tc>
              <w:tc>
                <w:tcPr>
                  <w:tcW w:w="526" w:type="pct"/>
                  <w:vMerge w:val="restart"/>
                  <w:tcBorders>
                    <w:tl2br w:val="nil"/>
                    <w:tr2bl w:val="nil"/>
                  </w:tcBorders>
                  <w:shd w:val="clear" w:color="auto" w:fill="auto"/>
                  <w:noWrap/>
                  <w:vAlign w:val="center"/>
                </w:tcPr>
                <w:p w14:paraId="377D8860">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声源名称</w:t>
                  </w:r>
                </w:p>
              </w:tc>
              <w:tc>
                <w:tcPr>
                  <w:tcW w:w="458" w:type="pct"/>
                  <w:tcBorders>
                    <w:tl2br w:val="nil"/>
                    <w:tr2bl w:val="nil"/>
                  </w:tcBorders>
                  <w:shd w:val="clear" w:color="auto" w:fill="auto"/>
                  <w:noWrap/>
                  <w:vAlign w:val="center"/>
                </w:tcPr>
                <w:p w14:paraId="30FABCFD">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声源源强</w:t>
                  </w:r>
                </w:p>
              </w:tc>
              <w:tc>
                <w:tcPr>
                  <w:tcW w:w="499" w:type="pct"/>
                  <w:vMerge w:val="restart"/>
                  <w:tcBorders>
                    <w:tl2br w:val="nil"/>
                    <w:tr2bl w:val="nil"/>
                  </w:tcBorders>
                  <w:shd w:val="clear" w:color="auto" w:fill="auto"/>
                  <w:noWrap/>
                  <w:vAlign w:val="center"/>
                </w:tcPr>
                <w:p w14:paraId="400264D9">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声源控制措施</w:t>
                  </w:r>
                </w:p>
              </w:tc>
              <w:tc>
                <w:tcPr>
                  <w:tcW w:w="990" w:type="pct"/>
                  <w:gridSpan w:val="3"/>
                  <w:tcBorders>
                    <w:tl2br w:val="nil"/>
                    <w:tr2bl w:val="nil"/>
                  </w:tcBorders>
                  <w:shd w:val="clear" w:color="auto" w:fill="auto"/>
                  <w:noWrap/>
                  <w:vAlign w:val="center"/>
                </w:tcPr>
                <w:p w14:paraId="1E8AD6EB">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空间相对位置/m</w:t>
                  </w:r>
                </w:p>
              </w:tc>
              <w:tc>
                <w:tcPr>
                  <w:tcW w:w="393" w:type="pct"/>
                  <w:vMerge w:val="restart"/>
                  <w:tcBorders>
                    <w:tl2br w:val="nil"/>
                    <w:tr2bl w:val="nil"/>
                  </w:tcBorders>
                  <w:shd w:val="clear" w:color="auto" w:fill="auto"/>
                  <w:noWrap/>
                  <w:vAlign w:val="center"/>
                </w:tcPr>
                <w:p w14:paraId="11AA735D">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距室内最近边界距离/m</w:t>
                  </w:r>
                </w:p>
              </w:tc>
              <w:tc>
                <w:tcPr>
                  <w:tcW w:w="387" w:type="pct"/>
                  <w:vMerge w:val="restart"/>
                  <w:tcBorders>
                    <w:tl2br w:val="nil"/>
                    <w:tr2bl w:val="nil"/>
                  </w:tcBorders>
                  <w:shd w:val="clear" w:color="auto" w:fill="auto"/>
                  <w:noWrap/>
                  <w:vAlign w:val="center"/>
                </w:tcPr>
                <w:p w14:paraId="47AF458C">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室内最近边界声级/dB(A</w:t>
                  </w:r>
                  <w:sdt>
                    <w:sdtPr>
                      <w:rPr>
                        <w:color w:val="auto"/>
                      </w:rPr>
                      <w:alias w:val="标点全半角格式"/>
                      <w:tag w:val="reviewtag_FF0000"/>
                      <w:id w:val="103751"/>
                    </w:sdtPr>
                    <w:sdtEndPr>
                      <w:rPr>
                        <w:color w:val="auto"/>
                      </w:rPr>
                    </w:sdtEndPr>
                    <w:sdtContent>
                      <w:bookmarkStart w:id="143" w:name="bkReivew103751"/>
                      <w:r>
                        <w:rPr>
                          <w:rFonts w:hint="eastAsia"/>
                          <w:b/>
                          <w:bCs/>
                          <w:color w:val="auto"/>
                          <w:sz w:val="21"/>
                          <w:szCs w:val="21"/>
                          <w:highlight w:val="none"/>
                          <w:lang w:val="en-US" w:eastAsia="zh-CN"/>
                        </w:rPr>
                        <w:t>)</w:t>
                      </w:r>
                      <w:bookmarkEnd w:id="143"/>
                    </w:sdtContent>
                  </w:sdt>
                </w:p>
              </w:tc>
              <w:tc>
                <w:tcPr>
                  <w:tcW w:w="247" w:type="pct"/>
                  <w:vMerge w:val="restart"/>
                  <w:tcBorders>
                    <w:tl2br w:val="nil"/>
                    <w:tr2bl w:val="nil"/>
                  </w:tcBorders>
                  <w:shd w:val="clear" w:color="auto" w:fill="auto"/>
                  <w:noWrap/>
                  <w:vAlign w:val="center"/>
                </w:tcPr>
                <w:p w14:paraId="779D41C4">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运行时段</w:t>
                  </w:r>
                </w:p>
              </w:tc>
              <w:tc>
                <w:tcPr>
                  <w:tcW w:w="362" w:type="pct"/>
                  <w:vMerge w:val="restart"/>
                  <w:tcBorders>
                    <w:tl2br w:val="nil"/>
                    <w:tr2bl w:val="nil"/>
                  </w:tcBorders>
                  <w:shd w:val="clear" w:color="auto" w:fill="auto"/>
                  <w:noWrap/>
                  <w:vAlign w:val="center"/>
                </w:tcPr>
                <w:p w14:paraId="090C5425">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建筑物插入损失/dB(A</w:t>
                  </w:r>
                  <w:sdt>
                    <w:sdtPr>
                      <w:rPr>
                        <w:color w:val="auto"/>
                      </w:rPr>
                      <w:alias w:val="标点全半角格式"/>
                      <w:tag w:val="reviewtag_FF0000"/>
                      <w:id w:val="1182600"/>
                    </w:sdtPr>
                    <w:sdtEndPr>
                      <w:rPr>
                        <w:color w:val="auto"/>
                      </w:rPr>
                    </w:sdtEndPr>
                    <w:sdtContent>
                      <w:bookmarkStart w:id="144" w:name="bkReivew1182600"/>
                      <w:r>
                        <w:rPr>
                          <w:rFonts w:hint="eastAsia"/>
                          <w:b/>
                          <w:bCs/>
                          <w:color w:val="auto"/>
                          <w:sz w:val="21"/>
                          <w:szCs w:val="21"/>
                          <w:highlight w:val="none"/>
                          <w:lang w:val="en-US" w:eastAsia="zh-CN"/>
                        </w:rPr>
                        <w:t>)</w:t>
                      </w:r>
                      <w:bookmarkEnd w:id="144"/>
                    </w:sdtContent>
                  </w:sdt>
                </w:p>
              </w:tc>
              <w:tc>
                <w:tcPr>
                  <w:tcW w:w="657" w:type="pct"/>
                  <w:gridSpan w:val="2"/>
                  <w:tcBorders>
                    <w:tl2br w:val="nil"/>
                    <w:tr2bl w:val="nil"/>
                  </w:tcBorders>
                  <w:shd w:val="clear" w:color="auto" w:fill="auto"/>
                  <w:noWrap/>
                  <w:vAlign w:val="center"/>
                </w:tcPr>
                <w:p w14:paraId="0AFA2959">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建筑物外噪声</w:t>
                  </w:r>
                </w:p>
              </w:tc>
            </w:tr>
            <w:tr w14:paraId="10042C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8" w:hRule="atLeast"/>
              </w:trPr>
              <w:tc>
                <w:tcPr>
                  <w:tcW w:w="187" w:type="pct"/>
                  <w:vMerge w:val="continue"/>
                  <w:tcBorders>
                    <w:tl2br w:val="nil"/>
                    <w:tr2bl w:val="nil"/>
                  </w:tcBorders>
                  <w:shd w:val="clear" w:color="auto" w:fill="auto"/>
                  <w:noWrap/>
                  <w:vAlign w:val="center"/>
                </w:tcPr>
                <w:p w14:paraId="692A5684">
                  <w:pPr>
                    <w:pStyle w:val="48"/>
                    <w:bidi w:val="0"/>
                    <w:ind w:firstLine="0" w:firstLineChars="0"/>
                    <w:rPr>
                      <w:rFonts w:hint="eastAsia"/>
                      <w:b/>
                      <w:bCs/>
                      <w:color w:val="auto"/>
                      <w:sz w:val="21"/>
                      <w:szCs w:val="21"/>
                      <w:highlight w:val="none"/>
                      <w:lang w:val="en-US" w:eastAsia="zh-CN"/>
                    </w:rPr>
                  </w:pPr>
                </w:p>
              </w:tc>
              <w:tc>
                <w:tcPr>
                  <w:tcW w:w="288" w:type="pct"/>
                  <w:vMerge w:val="continue"/>
                  <w:tcBorders>
                    <w:tl2br w:val="nil"/>
                    <w:tr2bl w:val="nil"/>
                  </w:tcBorders>
                  <w:shd w:val="clear" w:color="auto" w:fill="auto"/>
                  <w:noWrap/>
                  <w:vAlign w:val="center"/>
                </w:tcPr>
                <w:p w14:paraId="3BECFE6C">
                  <w:pPr>
                    <w:pStyle w:val="48"/>
                    <w:bidi w:val="0"/>
                    <w:ind w:firstLine="0" w:firstLineChars="0"/>
                    <w:rPr>
                      <w:rFonts w:hint="eastAsia"/>
                      <w:b/>
                      <w:bCs/>
                      <w:color w:val="auto"/>
                      <w:sz w:val="21"/>
                      <w:szCs w:val="21"/>
                      <w:highlight w:val="none"/>
                      <w:lang w:val="en-US" w:eastAsia="zh-CN"/>
                    </w:rPr>
                  </w:pPr>
                </w:p>
              </w:tc>
              <w:tc>
                <w:tcPr>
                  <w:tcW w:w="526" w:type="pct"/>
                  <w:vMerge w:val="continue"/>
                  <w:tcBorders>
                    <w:tl2br w:val="nil"/>
                    <w:tr2bl w:val="nil"/>
                  </w:tcBorders>
                  <w:shd w:val="clear" w:color="auto" w:fill="auto"/>
                  <w:noWrap/>
                  <w:vAlign w:val="center"/>
                </w:tcPr>
                <w:p w14:paraId="35318AB4">
                  <w:pPr>
                    <w:pStyle w:val="48"/>
                    <w:bidi w:val="0"/>
                    <w:ind w:firstLine="0" w:firstLineChars="0"/>
                    <w:rPr>
                      <w:rFonts w:hint="eastAsia"/>
                      <w:b/>
                      <w:bCs/>
                      <w:color w:val="auto"/>
                      <w:sz w:val="21"/>
                      <w:szCs w:val="21"/>
                      <w:highlight w:val="none"/>
                      <w:lang w:val="en-US" w:eastAsia="zh-CN"/>
                    </w:rPr>
                  </w:pPr>
                </w:p>
              </w:tc>
              <w:tc>
                <w:tcPr>
                  <w:tcW w:w="458" w:type="pct"/>
                  <w:tcBorders>
                    <w:tl2br w:val="nil"/>
                    <w:tr2bl w:val="nil"/>
                  </w:tcBorders>
                  <w:shd w:val="clear" w:color="auto" w:fill="auto"/>
                  <w:vAlign w:val="center"/>
                </w:tcPr>
                <w:p w14:paraId="376F8BAB">
                  <w:pPr>
                    <w:pStyle w:val="48"/>
                    <w:bidi w:val="0"/>
                    <w:ind w:firstLine="0" w:firstLineChars="0"/>
                    <w:rPr>
                      <w:rFonts w:hint="default"/>
                      <w:b/>
                      <w:bCs/>
                      <w:color w:val="auto"/>
                      <w:sz w:val="21"/>
                      <w:szCs w:val="21"/>
                      <w:highlight w:val="none"/>
                      <w:lang w:val="en-US" w:eastAsia="zh-CN"/>
                    </w:rPr>
                  </w:pPr>
                  <w:r>
                    <w:rPr>
                      <w:rFonts w:hint="eastAsia"/>
                      <w:b/>
                      <w:bCs/>
                      <w:color w:val="auto"/>
                      <w:sz w:val="21"/>
                      <w:szCs w:val="21"/>
                      <w:highlight w:val="none"/>
                      <w:lang w:val="en-US" w:eastAsia="zh-CN"/>
                    </w:rPr>
                    <w:t>声功率级/dB(A</w:t>
                  </w:r>
                  <w:sdt>
                    <w:sdtPr>
                      <w:rPr>
                        <w:color w:val="auto"/>
                      </w:rPr>
                      <w:alias w:val="标点全半角格式"/>
                      <w:tag w:val="reviewtag_FF0000"/>
                      <w:id w:val="2120541"/>
                    </w:sdtPr>
                    <w:sdtEndPr>
                      <w:rPr>
                        <w:color w:val="auto"/>
                      </w:rPr>
                    </w:sdtEndPr>
                    <w:sdtContent>
                      <w:bookmarkStart w:id="145" w:name="bkReivew2120541"/>
                      <w:r>
                        <w:rPr>
                          <w:rFonts w:hint="eastAsia"/>
                          <w:b/>
                          <w:bCs/>
                          <w:color w:val="auto"/>
                          <w:sz w:val="21"/>
                          <w:szCs w:val="21"/>
                          <w:highlight w:val="none"/>
                          <w:lang w:val="en-US" w:eastAsia="zh-CN"/>
                        </w:rPr>
                        <w:t>)</w:t>
                      </w:r>
                      <w:bookmarkEnd w:id="145"/>
                    </w:sdtContent>
                  </w:sdt>
                </w:p>
              </w:tc>
              <w:tc>
                <w:tcPr>
                  <w:tcW w:w="499" w:type="pct"/>
                  <w:vMerge w:val="continue"/>
                  <w:tcBorders>
                    <w:tl2br w:val="nil"/>
                    <w:tr2bl w:val="nil"/>
                  </w:tcBorders>
                  <w:shd w:val="clear" w:color="auto" w:fill="auto"/>
                  <w:noWrap/>
                  <w:vAlign w:val="center"/>
                </w:tcPr>
                <w:p w14:paraId="0DEFED92">
                  <w:pPr>
                    <w:pStyle w:val="48"/>
                    <w:bidi w:val="0"/>
                    <w:ind w:firstLine="0" w:firstLineChars="0"/>
                    <w:rPr>
                      <w:rFonts w:hint="eastAsia"/>
                      <w:b/>
                      <w:bCs/>
                      <w:color w:val="auto"/>
                      <w:sz w:val="21"/>
                      <w:szCs w:val="21"/>
                      <w:highlight w:val="none"/>
                      <w:lang w:val="en-US" w:eastAsia="zh-CN"/>
                    </w:rPr>
                  </w:pPr>
                </w:p>
              </w:tc>
              <w:tc>
                <w:tcPr>
                  <w:tcW w:w="391" w:type="pct"/>
                  <w:tcBorders>
                    <w:tl2br w:val="nil"/>
                    <w:tr2bl w:val="nil"/>
                  </w:tcBorders>
                  <w:shd w:val="clear" w:color="auto" w:fill="auto"/>
                  <w:noWrap/>
                  <w:vAlign w:val="center"/>
                </w:tcPr>
                <w:p w14:paraId="6CEF84A6">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X</w:t>
                  </w:r>
                </w:p>
              </w:tc>
              <w:tc>
                <w:tcPr>
                  <w:tcW w:w="362" w:type="pct"/>
                  <w:tcBorders>
                    <w:tl2br w:val="nil"/>
                    <w:tr2bl w:val="nil"/>
                  </w:tcBorders>
                  <w:shd w:val="clear" w:color="auto" w:fill="auto"/>
                  <w:noWrap/>
                  <w:vAlign w:val="center"/>
                </w:tcPr>
                <w:p w14:paraId="0208A118">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Y</w:t>
                  </w:r>
                </w:p>
              </w:tc>
              <w:tc>
                <w:tcPr>
                  <w:tcW w:w="236" w:type="pct"/>
                  <w:tcBorders>
                    <w:tl2br w:val="nil"/>
                    <w:tr2bl w:val="nil"/>
                  </w:tcBorders>
                  <w:shd w:val="clear" w:color="auto" w:fill="auto"/>
                  <w:noWrap/>
                  <w:vAlign w:val="center"/>
                </w:tcPr>
                <w:p w14:paraId="5BDF2228">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Z</w:t>
                  </w:r>
                </w:p>
              </w:tc>
              <w:tc>
                <w:tcPr>
                  <w:tcW w:w="393" w:type="pct"/>
                  <w:vMerge w:val="continue"/>
                  <w:tcBorders>
                    <w:tl2br w:val="nil"/>
                    <w:tr2bl w:val="nil"/>
                  </w:tcBorders>
                  <w:shd w:val="clear" w:color="auto" w:fill="auto"/>
                  <w:noWrap/>
                  <w:vAlign w:val="center"/>
                </w:tcPr>
                <w:p w14:paraId="40D7CAD2">
                  <w:pPr>
                    <w:pStyle w:val="48"/>
                    <w:bidi w:val="0"/>
                    <w:ind w:firstLine="0" w:firstLineChars="0"/>
                    <w:rPr>
                      <w:rFonts w:hint="eastAsia"/>
                      <w:b/>
                      <w:bCs/>
                      <w:color w:val="auto"/>
                      <w:sz w:val="21"/>
                      <w:szCs w:val="21"/>
                      <w:highlight w:val="none"/>
                      <w:lang w:val="en-US" w:eastAsia="zh-CN"/>
                    </w:rPr>
                  </w:pPr>
                </w:p>
              </w:tc>
              <w:tc>
                <w:tcPr>
                  <w:tcW w:w="387" w:type="pct"/>
                  <w:vMerge w:val="continue"/>
                  <w:tcBorders>
                    <w:tl2br w:val="nil"/>
                    <w:tr2bl w:val="nil"/>
                  </w:tcBorders>
                  <w:shd w:val="clear" w:color="auto" w:fill="auto"/>
                  <w:noWrap/>
                  <w:vAlign w:val="center"/>
                </w:tcPr>
                <w:p w14:paraId="1D6A902C">
                  <w:pPr>
                    <w:pStyle w:val="48"/>
                    <w:bidi w:val="0"/>
                    <w:ind w:firstLine="0" w:firstLineChars="0"/>
                    <w:rPr>
                      <w:rFonts w:hint="eastAsia"/>
                      <w:b/>
                      <w:bCs/>
                      <w:color w:val="auto"/>
                      <w:sz w:val="21"/>
                      <w:szCs w:val="21"/>
                      <w:highlight w:val="none"/>
                      <w:lang w:val="en-US" w:eastAsia="zh-CN"/>
                    </w:rPr>
                  </w:pPr>
                </w:p>
              </w:tc>
              <w:tc>
                <w:tcPr>
                  <w:tcW w:w="247" w:type="pct"/>
                  <w:vMerge w:val="continue"/>
                  <w:tcBorders>
                    <w:tl2br w:val="nil"/>
                    <w:tr2bl w:val="nil"/>
                  </w:tcBorders>
                  <w:shd w:val="clear" w:color="auto" w:fill="auto"/>
                  <w:noWrap/>
                  <w:vAlign w:val="center"/>
                </w:tcPr>
                <w:p w14:paraId="65883A92">
                  <w:pPr>
                    <w:pStyle w:val="48"/>
                    <w:bidi w:val="0"/>
                    <w:ind w:firstLine="0" w:firstLineChars="0"/>
                    <w:rPr>
                      <w:rFonts w:hint="eastAsia"/>
                      <w:b/>
                      <w:bCs/>
                      <w:color w:val="auto"/>
                      <w:sz w:val="21"/>
                      <w:szCs w:val="21"/>
                      <w:highlight w:val="none"/>
                      <w:lang w:val="en-US" w:eastAsia="zh-CN"/>
                    </w:rPr>
                  </w:pPr>
                </w:p>
              </w:tc>
              <w:tc>
                <w:tcPr>
                  <w:tcW w:w="362" w:type="pct"/>
                  <w:vMerge w:val="continue"/>
                  <w:tcBorders>
                    <w:tl2br w:val="nil"/>
                    <w:tr2bl w:val="nil"/>
                  </w:tcBorders>
                  <w:shd w:val="clear" w:color="auto" w:fill="auto"/>
                  <w:noWrap/>
                  <w:vAlign w:val="center"/>
                </w:tcPr>
                <w:p w14:paraId="68EBA0E1">
                  <w:pPr>
                    <w:pStyle w:val="48"/>
                    <w:bidi w:val="0"/>
                    <w:ind w:firstLine="0" w:firstLineChars="0"/>
                    <w:rPr>
                      <w:rFonts w:hint="eastAsia"/>
                      <w:b/>
                      <w:bCs/>
                      <w:color w:val="auto"/>
                      <w:sz w:val="21"/>
                      <w:szCs w:val="21"/>
                      <w:highlight w:val="none"/>
                      <w:lang w:val="en-US" w:eastAsia="zh-CN"/>
                    </w:rPr>
                  </w:pPr>
                </w:p>
              </w:tc>
              <w:tc>
                <w:tcPr>
                  <w:tcW w:w="369" w:type="pct"/>
                  <w:tcBorders>
                    <w:tl2br w:val="nil"/>
                    <w:tr2bl w:val="nil"/>
                  </w:tcBorders>
                  <w:shd w:val="clear" w:color="auto" w:fill="auto"/>
                  <w:noWrap/>
                  <w:vAlign w:val="center"/>
                </w:tcPr>
                <w:p w14:paraId="274358E4">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声压级/dB(A</w:t>
                  </w:r>
                  <w:sdt>
                    <w:sdtPr>
                      <w:rPr>
                        <w:color w:val="auto"/>
                      </w:rPr>
                      <w:alias w:val="标点全半角格式"/>
                      <w:tag w:val="reviewtag_FF0000"/>
                      <w:id w:val="1033712"/>
                    </w:sdtPr>
                    <w:sdtEndPr>
                      <w:rPr>
                        <w:color w:val="auto"/>
                      </w:rPr>
                    </w:sdtEndPr>
                    <w:sdtContent>
                      <w:bookmarkStart w:id="146" w:name="bkReivew1033712"/>
                      <w:r>
                        <w:rPr>
                          <w:rFonts w:hint="eastAsia"/>
                          <w:b/>
                          <w:bCs/>
                          <w:color w:val="auto"/>
                          <w:sz w:val="21"/>
                          <w:szCs w:val="21"/>
                          <w:highlight w:val="none"/>
                          <w:lang w:val="en-US" w:eastAsia="zh-CN"/>
                        </w:rPr>
                        <w:t>)</w:t>
                      </w:r>
                      <w:bookmarkEnd w:id="146"/>
                    </w:sdtContent>
                  </w:sdt>
                </w:p>
              </w:tc>
              <w:tc>
                <w:tcPr>
                  <w:tcW w:w="288" w:type="pct"/>
                  <w:tcBorders>
                    <w:tl2br w:val="nil"/>
                    <w:tr2bl w:val="nil"/>
                  </w:tcBorders>
                  <w:shd w:val="clear" w:color="auto" w:fill="auto"/>
                  <w:noWrap/>
                  <w:vAlign w:val="center"/>
                </w:tcPr>
                <w:p w14:paraId="72E7AE70">
                  <w:pPr>
                    <w:pStyle w:val="48"/>
                    <w:bidi w:val="0"/>
                    <w:ind w:firstLine="0" w:firstLineChars="0"/>
                    <w:rPr>
                      <w:rFonts w:hint="eastAsia"/>
                      <w:b/>
                      <w:bCs/>
                      <w:color w:val="auto"/>
                      <w:sz w:val="21"/>
                      <w:szCs w:val="21"/>
                      <w:highlight w:val="none"/>
                      <w:lang w:val="en-US" w:eastAsia="zh-CN"/>
                    </w:rPr>
                  </w:pPr>
                  <w:r>
                    <w:rPr>
                      <w:rFonts w:hint="eastAsia"/>
                      <w:b/>
                      <w:bCs/>
                      <w:color w:val="auto"/>
                      <w:sz w:val="21"/>
                      <w:szCs w:val="21"/>
                      <w:highlight w:val="none"/>
                      <w:lang w:val="en-US" w:eastAsia="zh-CN"/>
                    </w:rPr>
                    <w:t>建筑物外距离</w:t>
                  </w:r>
                </w:p>
              </w:tc>
            </w:tr>
            <w:tr w14:paraId="466CCE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8" w:hRule="atLeast"/>
              </w:trPr>
              <w:tc>
                <w:tcPr>
                  <w:tcW w:w="187" w:type="pct"/>
                  <w:tcBorders>
                    <w:tl2br w:val="nil"/>
                    <w:tr2bl w:val="nil"/>
                  </w:tcBorders>
                  <w:shd w:val="clear" w:color="auto" w:fill="auto"/>
                  <w:noWrap/>
                  <w:vAlign w:val="center"/>
                </w:tcPr>
                <w:p w14:paraId="44B4CE61">
                  <w:pPr>
                    <w:pStyle w:val="48"/>
                    <w:bidi w:val="0"/>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88" w:type="pct"/>
                  <w:tcBorders>
                    <w:tl2br w:val="nil"/>
                    <w:tr2bl w:val="nil"/>
                  </w:tcBorders>
                  <w:shd w:val="clear" w:color="auto" w:fill="auto"/>
                  <w:noWrap/>
                  <w:vAlign w:val="center"/>
                </w:tcPr>
                <w:p w14:paraId="11C75CE1">
                  <w:pPr>
                    <w:pStyle w:val="48"/>
                    <w:bidi w:val="0"/>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生产厂房</w:t>
                  </w:r>
                </w:p>
              </w:tc>
              <w:tc>
                <w:tcPr>
                  <w:tcW w:w="526" w:type="pct"/>
                  <w:tcBorders>
                    <w:tl2br w:val="nil"/>
                    <w:tr2bl w:val="nil"/>
                  </w:tcBorders>
                  <w:shd w:val="clear" w:color="auto" w:fill="auto"/>
                  <w:noWrap/>
                  <w:vAlign w:val="center"/>
                </w:tcPr>
                <w:p w14:paraId="6E954540">
                  <w:pPr>
                    <w:pStyle w:val="48"/>
                    <w:bidi w:val="0"/>
                    <w:ind w:firstLine="0" w:firstLineChars="0"/>
                    <w:rPr>
                      <w:rFonts w:hint="eastAsia"/>
                      <w:color w:val="auto"/>
                      <w:sz w:val="21"/>
                      <w:szCs w:val="21"/>
                      <w:highlight w:val="none"/>
                      <w:lang w:val="en-US" w:eastAsia="zh-CN"/>
                    </w:rPr>
                  </w:pPr>
                  <w:r>
                    <w:rPr>
                      <w:rFonts w:hint="default"/>
                      <w:color w:val="auto"/>
                      <w:vertAlign w:val="baseline"/>
                      <w:lang w:val="en-US" w:eastAsia="zh-CN"/>
                    </w:rPr>
                    <w:t>电池重物冲击试验机</w:t>
                  </w:r>
                </w:p>
              </w:tc>
              <w:tc>
                <w:tcPr>
                  <w:tcW w:w="458" w:type="pct"/>
                  <w:tcBorders>
                    <w:tl2br w:val="nil"/>
                    <w:tr2bl w:val="nil"/>
                  </w:tcBorders>
                  <w:shd w:val="clear" w:color="auto" w:fill="auto"/>
                  <w:noWrap/>
                  <w:vAlign w:val="center"/>
                </w:tcPr>
                <w:p w14:paraId="00C5EB74">
                  <w:pPr>
                    <w:pStyle w:val="48"/>
                    <w:bidi w:val="0"/>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499" w:type="pct"/>
                  <w:tcBorders>
                    <w:tl2br w:val="nil"/>
                    <w:tr2bl w:val="nil"/>
                  </w:tcBorders>
                  <w:shd w:val="clear" w:color="auto" w:fill="auto"/>
                  <w:noWrap/>
                  <w:vAlign w:val="center"/>
                </w:tcPr>
                <w:p w14:paraId="4F9193EE">
                  <w:pPr>
                    <w:pStyle w:val="48"/>
                    <w:bidi w:val="0"/>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基础减振，厂房隔声、选低噪声设备</w:t>
                  </w:r>
                </w:p>
              </w:tc>
              <w:tc>
                <w:tcPr>
                  <w:tcW w:w="391" w:type="pct"/>
                  <w:tcBorders>
                    <w:tl2br w:val="nil"/>
                    <w:tr2bl w:val="nil"/>
                  </w:tcBorders>
                  <w:shd w:val="clear" w:color="auto" w:fill="auto"/>
                  <w:noWrap/>
                  <w:vAlign w:val="center"/>
                </w:tcPr>
                <w:p w14:paraId="1D396164">
                  <w:pPr>
                    <w:pStyle w:val="48"/>
                    <w:bidi w:val="0"/>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44.17</w:t>
                  </w:r>
                </w:p>
              </w:tc>
              <w:tc>
                <w:tcPr>
                  <w:tcW w:w="362" w:type="pct"/>
                  <w:tcBorders>
                    <w:tl2br w:val="nil"/>
                    <w:tr2bl w:val="nil"/>
                  </w:tcBorders>
                  <w:shd w:val="clear" w:color="auto" w:fill="auto"/>
                  <w:noWrap/>
                  <w:vAlign w:val="center"/>
                </w:tcPr>
                <w:p w14:paraId="7B63AD85">
                  <w:pPr>
                    <w:pStyle w:val="48"/>
                    <w:bidi w:val="0"/>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10.27</w:t>
                  </w:r>
                </w:p>
              </w:tc>
              <w:tc>
                <w:tcPr>
                  <w:tcW w:w="236" w:type="pct"/>
                  <w:tcBorders>
                    <w:tl2br w:val="nil"/>
                    <w:tr2bl w:val="nil"/>
                  </w:tcBorders>
                  <w:shd w:val="clear" w:color="auto" w:fill="auto"/>
                  <w:noWrap/>
                  <w:vAlign w:val="center"/>
                </w:tcPr>
                <w:p w14:paraId="370642B9">
                  <w:pPr>
                    <w:pStyle w:val="48"/>
                    <w:bidi w:val="0"/>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393" w:type="pct"/>
                  <w:tcBorders>
                    <w:tl2br w:val="nil"/>
                    <w:tr2bl w:val="nil"/>
                  </w:tcBorders>
                  <w:shd w:val="clear" w:color="auto" w:fill="auto"/>
                  <w:noWrap/>
                  <w:vAlign w:val="center"/>
                </w:tcPr>
                <w:p w14:paraId="499FDC2B">
                  <w:pPr>
                    <w:pStyle w:val="48"/>
                    <w:bidi w:val="0"/>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17.18</w:t>
                  </w:r>
                </w:p>
              </w:tc>
              <w:tc>
                <w:tcPr>
                  <w:tcW w:w="387" w:type="pct"/>
                  <w:tcBorders>
                    <w:tl2br w:val="nil"/>
                    <w:tr2bl w:val="nil"/>
                  </w:tcBorders>
                  <w:shd w:val="clear" w:color="auto" w:fill="auto"/>
                  <w:noWrap/>
                  <w:vAlign w:val="center"/>
                </w:tcPr>
                <w:p w14:paraId="098C98AF">
                  <w:pPr>
                    <w:pStyle w:val="48"/>
                    <w:bidi w:val="0"/>
                    <w:ind w:firstLine="0" w:firstLineChars="0"/>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68.62</w:t>
                  </w:r>
                </w:p>
              </w:tc>
              <w:tc>
                <w:tcPr>
                  <w:tcW w:w="247" w:type="pct"/>
                  <w:tcBorders>
                    <w:tl2br w:val="nil"/>
                    <w:tr2bl w:val="nil"/>
                  </w:tcBorders>
                  <w:shd w:val="clear" w:color="auto" w:fill="auto"/>
                  <w:noWrap/>
                  <w:vAlign w:val="center"/>
                </w:tcPr>
                <w:p w14:paraId="5EE40158">
                  <w:pPr>
                    <w:pStyle w:val="48"/>
                    <w:bidi w:val="0"/>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昼间</w:t>
                  </w:r>
                </w:p>
              </w:tc>
              <w:tc>
                <w:tcPr>
                  <w:tcW w:w="362" w:type="pct"/>
                  <w:tcBorders>
                    <w:tl2br w:val="nil"/>
                    <w:tr2bl w:val="nil"/>
                  </w:tcBorders>
                  <w:shd w:val="clear" w:color="auto" w:fill="auto"/>
                  <w:noWrap/>
                  <w:vAlign w:val="center"/>
                </w:tcPr>
                <w:p w14:paraId="0FAD85F3">
                  <w:pPr>
                    <w:pStyle w:val="48"/>
                    <w:bidi w:val="0"/>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26</w:t>
                  </w:r>
                </w:p>
              </w:tc>
              <w:tc>
                <w:tcPr>
                  <w:tcW w:w="369" w:type="pct"/>
                  <w:tcBorders>
                    <w:tl2br w:val="nil"/>
                    <w:tr2bl w:val="nil"/>
                  </w:tcBorders>
                  <w:shd w:val="clear" w:color="auto" w:fill="auto"/>
                  <w:noWrap/>
                  <w:vAlign w:val="center"/>
                </w:tcPr>
                <w:p w14:paraId="0F911D21">
                  <w:pPr>
                    <w:pStyle w:val="48"/>
                    <w:bidi w:val="0"/>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42.62</w:t>
                  </w:r>
                </w:p>
              </w:tc>
              <w:tc>
                <w:tcPr>
                  <w:tcW w:w="288" w:type="pct"/>
                  <w:tcBorders>
                    <w:tl2br w:val="nil"/>
                    <w:tr2bl w:val="nil"/>
                  </w:tcBorders>
                  <w:shd w:val="clear" w:color="auto" w:fill="auto"/>
                  <w:noWrap/>
                  <w:vAlign w:val="center"/>
                </w:tcPr>
                <w:p w14:paraId="746ACDF4">
                  <w:pPr>
                    <w:pStyle w:val="48"/>
                    <w:bidi w:val="0"/>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1</w:t>
                  </w:r>
                </w:p>
              </w:tc>
            </w:tr>
          </w:tbl>
          <w:p w14:paraId="6EC5DC6C">
            <w:pPr>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cs="Times New Roman"/>
                <w:b w:val="0"/>
                <w:bCs w:val="0"/>
                <w:color w:val="auto"/>
                <w:sz w:val="21"/>
                <w:szCs w:val="21"/>
                <w:highlight w:val="none"/>
              </w:rPr>
            </w:pPr>
            <w:r>
              <w:rPr>
                <w:rFonts w:hint="eastAsia"/>
                <w:b w:val="0"/>
                <w:bCs w:val="0"/>
                <w:color w:val="auto"/>
                <w:sz w:val="21"/>
                <w:szCs w:val="21"/>
                <w:highlight w:val="none"/>
                <w:lang w:val="en-US" w:eastAsia="zh-CN"/>
              </w:rPr>
              <w:t>注：以厂界西南角为坐标原点，</w:t>
            </w:r>
            <w:r>
              <w:rPr>
                <w:rFonts w:hint="default" w:ascii="Times New Roman" w:hAnsi="Times New Roman" w:cs="Times New Roman"/>
                <w:b w:val="0"/>
                <w:bCs w:val="0"/>
                <w:color w:val="auto"/>
                <w:sz w:val="21"/>
                <w:szCs w:val="21"/>
                <w:highlight w:val="none"/>
              </w:rPr>
              <w:t>原点坐标为（</w:t>
            </w:r>
            <w:r>
              <w:rPr>
                <w:rFonts w:hint="default" w:ascii="Times New Roman" w:hAnsi="Times New Roman" w:cs="Times New Roman"/>
                <w:b w:val="0"/>
                <w:bCs w:val="0"/>
                <w:color w:val="auto"/>
                <w:sz w:val="21"/>
                <w:szCs w:val="21"/>
                <w:highlight w:val="none"/>
                <w:lang w:val="en-US" w:eastAsia="zh-CN"/>
              </w:rPr>
              <w:t>E</w:t>
            </w:r>
            <w:r>
              <w:rPr>
                <w:rFonts w:hint="default" w:ascii="Times New Roman" w:hAnsi="Times New Roman" w:cs="Times New Roman"/>
                <w:b w:val="0"/>
                <w:bCs w:val="0"/>
                <w:color w:val="auto"/>
                <w:sz w:val="21"/>
                <w:szCs w:val="21"/>
                <w:highlight w:val="none"/>
              </w:rPr>
              <w:t>118.783723，N31</w:t>
            </w:r>
            <w:r>
              <w:rPr>
                <w:rFonts w:hint="eastAsia" w:cs="Times New Roman"/>
                <w:b w:val="0"/>
                <w:bCs w:val="0"/>
                <w:color w:val="auto"/>
                <w:sz w:val="21"/>
                <w:szCs w:val="21"/>
                <w:highlight w:val="none"/>
                <w:lang w:val="en-US" w:eastAsia="zh-CN"/>
              </w:rPr>
              <w:t>.770437</w:t>
            </w:r>
            <w:r>
              <w:rPr>
                <w:rFonts w:hint="default" w:ascii="Times New Roman" w:hAnsi="Times New Roman" w:cs="Times New Roman"/>
                <w:b w:val="0"/>
                <w:bCs w:val="0"/>
                <w:color w:val="auto"/>
                <w:sz w:val="21"/>
                <w:szCs w:val="21"/>
                <w:highlight w:val="none"/>
              </w:rPr>
              <w:t>）。</w:t>
            </w:r>
          </w:p>
          <w:p w14:paraId="2A51DA4D">
            <w:pPr>
              <w:pStyle w:val="12"/>
              <w:ind w:left="0" w:leftChars="0" w:firstLine="0" w:firstLineChars="0"/>
              <w:rPr>
                <w:rFonts w:hint="default"/>
                <w:color w:val="auto"/>
                <w:highlight w:val="none"/>
              </w:rPr>
            </w:pPr>
          </w:p>
          <w:p w14:paraId="000EDD35">
            <w:pPr>
              <w:rPr>
                <w:rFonts w:hint="default"/>
                <w:color w:val="auto"/>
                <w:highlight w:val="none"/>
              </w:rPr>
            </w:pPr>
          </w:p>
          <w:p w14:paraId="03EE6BB4">
            <w:pPr>
              <w:rPr>
                <w:rFonts w:hint="default"/>
                <w:color w:val="auto"/>
                <w:highlight w:val="none"/>
              </w:rPr>
            </w:pPr>
          </w:p>
          <w:p w14:paraId="5609B124">
            <w:pPr>
              <w:rPr>
                <w:rFonts w:hint="default"/>
                <w:color w:val="auto"/>
                <w:highlight w:val="none"/>
              </w:rPr>
            </w:pPr>
          </w:p>
          <w:p w14:paraId="3C5E7142">
            <w:pPr>
              <w:rPr>
                <w:rFonts w:hint="eastAsia" w:eastAsia="宋体"/>
                <w:color w:val="auto"/>
                <w:highlight w:val="none"/>
                <w:lang w:val="en-US" w:eastAsia="zh-CN"/>
              </w:rPr>
            </w:pPr>
          </w:p>
          <w:p w14:paraId="4F150F76">
            <w:pPr>
              <w:rPr>
                <w:rFonts w:hint="eastAsia" w:eastAsia="宋体"/>
                <w:color w:val="auto"/>
                <w:highlight w:val="none"/>
                <w:lang w:val="en-US" w:eastAsia="zh-CN"/>
              </w:rPr>
            </w:pPr>
          </w:p>
          <w:p w14:paraId="21E246A3">
            <w:pPr>
              <w:rPr>
                <w:rFonts w:hint="eastAsia" w:eastAsia="宋体"/>
                <w:color w:val="auto"/>
                <w:highlight w:val="none"/>
                <w:lang w:val="en-US" w:eastAsia="zh-CN"/>
              </w:rPr>
            </w:pPr>
          </w:p>
          <w:p w14:paraId="5022A626">
            <w:pPr>
              <w:rPr>
                <w:rFonts w:hint="eastAsia" w:eastAsia="宋体"/>
                <w:color w:val="auto"/>
                <w:highlight w:val="none"/>
                <w:lang w:val="en-US" w:eastAsia="zh-CN"/>
              </w:rPr>
            </w:pPr>
          </w:p>
          <w:p w14:paraId="48420264">
            <w:pPr>
              <w:rPr>
                <w:rFonts w:hint="eastAsia" w:eastAsia="宋体"/>
                <w:color w:val="auto"/>
                <w:highlight w:val="none"/>
                <w:lang w:val="en-US" w:eastAsia="zh-CN"/>
              </w:rPr>
            </w:pPr>
          </w:p>
          <w:p w14:paraId="332F82CE">
            <w:pPr>
              <w:rPr>
                <w:rFonts w:hint="eastAsia" w:eastAsia="宋体"/>
                <w:color w:val="auto"/>
                <w:highlight w:val="none"/>
                <w:lang w:val="en-US" w:eastAsia="zh-CN"/>
              </w:rPr>
            </w:pPr>
          </w:p>
          <w:p w14:paraId="4903AF07">
            <w:pPr>
              <w:rPr>
                <w:rFonts w:hint="eastAsia" w:eastAsia="宋体"/>
                <w:color w:val="auto"/>
                <w:highlight w:val="none"/>
                <w:lang w:val="en-US" w:eastAsia="zh-CN"/>
              </w:rPr>
            </w:pPr>
          </w:p>
          <w:p w14:paraId="40AE1F8D">
            <w:pPr>
              <w:rPr>
                <w:rFonts w:hint="eastAsia" w:eastAsia="宋体"/>
                <w:color w:val="auto"/>
                <w:highlight w:val="none"/>
                <w:lang w:val="en-US" w:eastAsia="zh-CN"/>
              </w:rPr>
            </w:pPr>
          </w:p>
        </w:tc>
      </w:tr>
    </w:tbl>
    <w:p w14:paraId="4F60BB82">
      <w:pPr>
        <w:bidi w:val="0"/>
        <w:rPr>
          <w:rStyle w:val="47"/>
          <w:rFonts w:hint="default" w:ascii="Times New Roman" w:hAnsi="Times New Roman" w:eastAsia="黑体"/>
          <w:color w:val="auto"/>
          <w:sz w:val="30"/>
          <w:szCs w:val="30"/>
          <w:highlight w:val="none"/>
        </w:rPr>
        <w:sectPr>
          <w:pgSz w:w="16840" w:h="11907" w:orient="landscape"/>
          <w:pgMar w:top="1531" w:right="1701" w:bottom="1531" w:left="2126" w:header="851" w:footer="850" w:gutter="0"/>
          <w:pgBorders>
            <w:top w:val="none" w:sz="0" w:space="0"/>
            <w:left w:val="none" w:sz="0" w:space="0"/>
            <w:bottom w:val="none" w:sz="0" w:space="0"/>
            <w:right w:val="none" w:sz="0" w:space="0"/>
          </w:pgBorders>
          <w:pgNumType w:fmt="decimal"/>
          <w:cols w:space="0" w:num="1"/>
          <w:rtlGutter w:val="0"/>
          <w:docGrid w:linePitch="312" w:charSpace="0"/>
        </w:sectPr>
      </w:pPr>
      <w:bookmarkStart w:id="147" w:name="pindex1896"/>
      <w:bookmarkEnd w:id="147"/>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8237"/>
      </w:tblGrid>
      <w:tr w14:paraId="1061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1" w:type="dxa"/>
            <w:vAlign w:val="center"/>
          </w:tcPr>
          <w:p w14:paraId="730A1A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b/>
                <w:bCs/>
                <w:color w:val="auto"/>
                <w:kern w:val="0"/>
                <w:highlight w:val="none"/>
              </w:rPr>
              <w:t>运营期环境影响和保护措施</w:t>
            </w:r>
          </w:p>
        </w:tc>
        <w:tc>
          <w:tcPr>
            <w:tcW w:w="8450" w:type="dxa"/>
          </w:tcPr>
          <w:p w14:paraId="5ADE8F19">
            <w:pPr>
              <w:adjustRightInd w:val="0"/>
              <w:snapToGrid w:val="0"/>
              <w:spacing w:line="440" w:lineRule="exact"/>
              <w:ind w:firstLine="482" w:firstLineChars="200"/>
              <w:rPr>
                <w:b/>
                <w:bCs/>
                <w:color w:val="auto"/>
                <w:sz w:val="24"/>
                <w:highlight w:val="none"/>
              </w:rPr>
            </w:pPr>
            <w:r>
              <w:rPr>
                <w:b/>
                <w:bCs/>
                <w:color w:val="auto"/>
                <w:sz w:val="24"/>
                <w:highlight w:val="none"/>
              </w:rPr>
              <w:t>（2）噪声治理措施</w:t>
            </w:r>
          </w:p>
          <w:p w14:paraId="27248D59">
            <w:pPr>
              <w:spacing w:line="440" w:lineRule="exact"/>
              <w:ind w:firstLine="480" w:firstLineChars="200"/>
              <w:rPr>
                <w:color w:val="auto"/>
                <w:sz w:val="24"/>
                <w:highlight w:val="none"/>
              </w:rPr>
            </w:pPr>
            <w:r>
              <w:rPr>
                <w:color w:val="auto"/>
                <w:sz w:val="24"/>
                <w:highlight w:val="none"/>
              </w:rPr>
              <w:t>本项目的噪声源主要为生产工艺上设备运行噪声，根据《环境影响评价技术导则 声环境》（HJ2.4-2021），为降低生产设备噪声对周围环境的影响，建设单位拟采用</w:t>
            </w:r>
            <w:sdt>
              <w:sdtPr>
                <w:rPr>
                  <w:color w:val="auto"/>
                </w:rPr>
                <w:alias w:val="语法错误"/>
                <w:tag w:val="reviewtag_auto"/>
                <w:id w:val="50813"/>
              </w:sdtPr>
              <w:sdtEndPr>
                <w:rPr>
                  <w:color w:val="auto"/>
                </w:rPr>
              </w:sdtEndPr>
              <w:sdtContent>
                <w:bookmarkStart w:id="148" w:name="bkReivew50813"/>
                <w:r>
                  <w:rPr>
                    <w:color w:val="auto"/>
                    <w:sz w:val="24"/>
                    <w:highlight w:val="none"/>
                  </w:rPr>
                  <w:t>的</w:t>
                </w:r>
                <w:bookmarkEnd w:id="148"/>
              </w:sdtContent>
            </w:sdt>
            <w:r>
              <w:rPr>
                <w:color w:val="auto"/>
                <w:sz w:val="24"/>
                <w:highlight w:val="none"/>
              </w:rPr>
              <w:t>噪声治理措施：</w:t>
            </w:r>
          </w:p>
          <w:p w14:paraId="404F4BF3">
            <w:pPr>
              <w:spacing w:line="440" w:lineRule="exact"/>
              <w:ind w:firstLine="482" w:firstLineChars="200"/>
              <w:rPr>
                <w:b/>
                <w:bCs/>
                <w:color w:val="auto"/>
                <w:sz w:val="24"/>
                <w:highlight w:val="none"/>
              </w:rPr>
            </w:pPr>
            <w:r>
              <w:rPr>
                <w:b/>
                <w:bCs/>
                <w:color w:val="auto"/>
                <w:sz w:val="24"/>
                <w:highlight w:val="none"/>
              </w:rPr>
              <w:t>1）规划防治对策</w:t>
            </w:r>
          </w:p>
          <w:p w14:paraId="3D218118">
            <w:pPr>
              <w:spacing w:line="440" w:lineRule="exact"/>
              <w:ind w:firstLine="480" w:firstLineChars="200"/>
              <w:rPr>
                <w:color w:val="auto"/>
                <w:sz w:val="24"/>
                <w:highlight w:val="none"/>
              </w:rPr>
            </w:pPr>
            <w:r>
              <w:rPr>
                <w:color w:val="auto"/>
                <w:sz w:val="24"/>
                <w:highlight w:val="none"/>
              </w:rPr>
              <w:t>从建设项目的选址、规划布局、总图布置和设备布局等方面进行调整，高噪声设备尽可能远离声环境保护目标、优化建设项目布局。</w:t>
            </w:r>
          </w:p>
          <w:p w14:paraId="49624B10">
            <w:pPr>
              <w:spacing w:line="440" w:lineRule="exact"/>
              <w:ind w:firstLine="482" w:firstLineChars="200"/>
              <w:rPr>
                <w:b/>
                <w:bCs/>
                <w:color w:val="auto"/>
                <w:sz w:val="24"/>
                <w:highlight w:val="none"/>
              </w:rPr>
            </w:pPr>
            <w:r>
              <w:rPr>
                <w:b/>
                <w:bCs/>
                <w:color w:val="auto"/>
                <w:sz w:val="24"/>
                <w:highlight w:val="none"/>
              </w:rPr>
              <w:t>2）噪声源控制措施</w:t>
            </w:r>
          </w:p>
          <w:p w14:paraId="5AE67A61">
            <w:pPr>
              <w:spacing w:line="440" w:lineRule="exact"/>
              <w:ind w:firstLine="480" w:firstLineChars="200"/>
              <w:rPr>
                <w:color w:val="auto"/>
                <w:sz w:val="24"/>
                <w:highlight w:val="none"/>
                <w:lang w:val="zh-CN"/>
              </w:rPr>
            </w:pPr>
            <w:r>
              <w:rPr>
                <w:rFonts w:hint="eastAsia" w:ascii="宋体" w:hAnsi="宋体" w:cs="宋体"/>
                <w:color w:val="auto"/>
                <w:sz w:val="24"/>
                <w:highlight w:val="none"/>
                <w:lang w:val="zh-CN"/>
              </w:rPr>
              <w:t>①</w:t>
            </w:r>
            <w:r>
              <w:rPr>
                <w:color w:val="auto"/>
                <w:sz w:val="24"/>
                <w:highlight w:val="none"/>
                <w:lang w:val="zh-CN"/>
              </w:rPr>
              <w:t>在设备选型时选用先进的低噪声设备，在满足工艺设计的前提下，尽量地</w:t>
            </w:r>
            <w:r>
              <w:rPr>
                <w:rFonts w:hint="eastAsia"/>
                <w:color w:val="auto"/>
                <w:sz w:val="24"/>
                <w:highlight w:val="none"/>
                <w:lang w:val="zh-CN"/>
              </w:rPr>
              <w:t>选用</w:t>
            </w:r>
            <w:r>
              <w:rPr>
                <w:color w:val="auto"/>
                <w:sz w:val="24"/>
                <w:highlight w:val="none"/>
                <w:lang w:val="zh-CN"/>
              </w:rPr>
              <w:t>满足国际标准的低噪声、低振动型号的设备，降低噪声源</w:t>
            </w:r>
            <w:sdt>
              <w:sdtPr>
                <w:rPr>
                  <w:color w:val="auto"/>
                </w:rPr>
                <w:alias w:val="语法错误"/>
                <w:tag w:val="reviewtag_auto"/>
                <w:id w:val="161855"/>
              </w:sdtPr>
              <w:sdtEndPr>
                <w:rPr>
                  <w:color w:val="auto"/>
                </w:rPr>
              </w:sdtEndPr>
              <w:sdtContent>
                <w:bookmarkStart w:id="149" w:name="bkReivew161855"/>
                <w:r>
                  <w:rPr>
                    <w:color w:val="auto"/>
                    <w:sz w:val="24"/>
                    <w:highlight w:val="none"/>
                    <w:lang w:val="zh-CN"/>
                  </w:rPr>
                  <w:t>强</w:t>
                </w:r>
                <w:bookmarkEnd w:id="149"/>
              </w:sdtContent>
            </w:sdt>
            <w:r>
              <w:rPr>
                <w:color w:val="auto"/>
                <w:sz w:val="24"/>
                <w:highlight w:val="none"/>
                <w:lang w:val="zh-CN"/>
              </w:rPr>
              <w:t>。</w:t>
            </w:r>
          </w:p>
          <w:p w14:paraId="143AB53B">
            <w:pPr>
              <w:spacing w:line="440" w:lineRule="exact"/>
              <w:ind w:firstLine="480" w:firstLineChars="200"/>
              <w:rPr>
                <w:color w:val="auto"/>
                <w:sz w:val="24"/>
                <w:highlight w:val="none"/>
                <w:lang w:val="zh-CN"/>
              </w:rPr>
            </w:pPr>
            <w:r>
              <w:rPr>
                <w:rFonts w:hint="eastAsia" w:ascii="宋体" w:hAnsi="宋体" w:cs="宋体"/>
                <w:color w:val="auto"/>
                <w:sz w:val="24"/>
                <w:highlight w:val="none"/>
                <w:lang w:val="zh-CN"/>
              </w:rPr>
              <w:t>②</w:t>
            </w:r>
            <w:r>
              <w:rPr>
                <w:color w:val="auto"/>
                <w:sz w:val="24"/>
                <w:highlight w:val="none"/>
                <w:lang w:val="zh-CN"/>
              </w:rPr>
              <w:t>本项</w:t>
            </w:r>
            <w:r>
              <w:rPr>
                <w:color w:val="auto"/>
                <w:sz w:val="24"/>
                <w:highlight w:val="none"/>
              </w:rPr>
              <w:t>目</w:t>
            </w:r>
            <w:r>
              <w:rPr>
                <w:color w:val="auto"/>
                <w:sz w:val="24"/>
                <w:highlight w:val="none"/>
                <w:lang w:val="zh-CN"/>
              </w:rPr>
              <w:t>高噪声设备均安置在室内，合理布置设备的位置，有效利用建筑隔声，并采取隔声、吸声材料制作门窗、墙体等，防止噪声的扩散和传播，正常生产时门窗密闭，采取隔声措施，降噪量</w:t>
            </w:r>
            <w:sdt>
              <w:sdtPr>
                <w:rPr>
                  <w:color w:val="auto"/>
                </w:rPr>
                <w:alias w:val="语法错误"/>
                <w:tag w:val="reviewtag_auto"/>
                <w:id w:val="1051354"/>
              </w:sdtPr>
              <w:sdtEndPr>
                <w:rPr>
                  <w:color w:val="auto"/>
                </w:rPr>
              </w:sdtEndPr>
              <w:sdtContent>
                <w:bookmarkStart w:id="150" w:name="bkReivew1051354"/>
                <w:r>
                  <w:rPr>
                    <w:color w:val="auto"/>
                    <w:sz w:val="24"/>
                    <w:highlight w:val="none"/>
                    <w:lang w:val="zh-CN"/>
                  </w:rPr>
                  <w:t>约</w:t>
                </w:r>
                <w:bookmarkEnd w:id="150"/>
              </w:sdtContent>
            </w:sdt>
            <w:r>
              <w:rPr>
                <w:color w:val="auto"/>
                <w:sz w:val="24"/>
                <w:highlight w:val="none"/>
                <w:lang w:val="zh-CN"/>
              </w:rPr>
              <w:t>20dB（A）左右。</w:t>
            </w:r>
          </w:p>
          <w:p w14:paraId="2B47514E">
            <w:pPr>
              <w:spacing w:line="440" w:lineRule="exact"/>
              <w:ind w:firstLine="482" w:firstLineChars="200"/>
              <w:rPr>
                <w:b/>
                <w:bCs/>
                <w:color w:val="auto"/>
                <w:sz w:val="24"/>
                <w:highlight w:val="none"/>
              </w:rPr>
            </w:pPr>
            <w:r>
              <w:rPr>
                <w:rFonts w:hint="eastAsia"/>
                <w:b/>
                <w:bCs/>
                <w:color w:val="auto"/>
                <w:sz w:val="24"/>
                <w:highlight w:val="none"/>
                <w:lang w:val="en-US" w:eastAsia="zh-CN"/>
              </w:rPr>
              <w:t>3</w:t>
            </w:r>
            <w:r>
              <w:rPr>
                <w:b/>
                <w:bCs/>
                <w:color w:val="auto"/>
                <w:sz w:val="24"/>
                <w:highlight w:val="none"/>
              </w:rPr>
              <w:t>）管理措施</w:t>
            </w:r>
          </w:p>
          <w:p w14:paraId="6A06F201">
            <w:pPr>
              <w:spacing w:line="440" w:lineRule="exact"/>
              <w:ind w:firstLine="480" w:firstLineChars="200"/>
              <w:rPr>
                <w:b/>
                <w:bCs/>
                <w:color w:val="auto"/>
                <w:sz w:val="24"/>
                <w:highlight w:val="none"/>
                <w:lang w:val="zh-CN"/>
              </w:rPr>
            </w:pPr>
            <w:r>
              <w:rPr>
                <w:color w:val="auto"/>
                <w:sz w:val="24"/>
                <w:highlight w:val="none"/>
              </w:rPr>
              <w:t>提出噪声管理方案，制定噪声监测方案。</w:t>
            </w:r>
          </w:p>
          <w:p w14:paraId="277EF3F2">
            <w:pPr>
              <w:adjustRightInd w:val="0"/>
              <w:snapToGrid w:val="0"/>
              <w:spacing w:line="440" w:lineRule="exact"/>
              <w:ind w:firstLine="480" w:firstLineChars="200"/>
              <w:rPr>
                <w:b/>
                <w:bCs/>
                <w:color w:val="auto"/>
                <w:sz w:val="24"/>
                <w:highlight w:val="none"/>
              </w:rPr>
            </w:pPr>
            <w:r>
              <w:rPr>
                <w:color w:val="auto"/>
                <w:sz w:val="24"/>
                <w:highlight w:val="none"/>
                <w:lang w:val="zh-CN"/>
              </w:rPr>
              <w:t>确保各类防治措施有效运行，各设备均保持良好运行状态，防止突发噪声；</w:t>
            </w:r>
            <w:r>
              <w:rPr>
                <w:color w:val="auto"/>
                <w:sz w:val="24"/>
                <w:highlight w:val="none"/>
              </w:rPr>
              <w:t>加强管理，加强职工环保意识教育，提倡文明生产，防止人为噪声；对于厂区流动声源（汽车），要强化行车管理制度，设置降噪标准，严禁鸣号，进入厂区低速行驶，最大限度减少流动噪声源。加强设备维护，避免设备故障异常噪声产生。</w:t>
            </w:r>
          </w:p>
          <w:p w14:paraId="4C614DC0">
            <w:pPr>
              <w:adjustRightInd w:val="0"/>
              <w:snapToGrid w:val="0"/>
              <w:spacing w:line="440" w:lineRule="exact"/>
              <w:ind w:firstLine="482" w:firstLineChars="200"/>
              <w:rPr>
                <w:b/>
                <w:bCs/>
                <w:color w:val="auto"/>
                <w:sz w:val="24"/>
                <w:highlight w:val="none"/>
              </w:rPr>
            </w:pPr>
            <w:r>
              <w:rPr>
                <w:b/>
                <w:bCs/>
                <w:color w:val="auto"/>
                <w:sz w:val="24"/>
                <w:highlight w:val="none"/>
              </w:rPr>
              <w:t>（3）噪声环境影响分析</w:t>
            </w:r>
          </w:p>
          <w:p w14:paraId="4BF0997D">
            <w:pPr>
              <w:spacing w:line="440" w:lineRule="exact"/>
              <w:ind w:firstLine="482" w:firstLineChars="200"/>
              <w:rPr>
                <w:b/>
                <w:bCs/>
                <w:color w:val="auto"/>
                <w:sz w:val="24"/>
                <w:highlight w:val="none"/>
              </w:rPr>
            </w:pPr>
            <w:r>
              <w:rPr>
                <w:b/>
                <w:bCs/>
                <w:color w:val="auto"/>
                <w:sz w:val="24"/>
                <w:highlight w:val="none"/>
              </w:rPr>
              <w:t>1）噪声环境影响分析</w:t>
            </w:r>
          </w:p>
          <w:p w14:paraId="683D28F9">
            <w:pPr>
              <w:widowControl/>
              <w:adjustRightInd w:val="0"/>
              <w:snapToGrid w:val="0"/>
              <w:spacing w:line="440" w:lineRule="exact"/>
              <w:ind w:firstLine="720" w:firstLineChars="300"/>
              <w:rPr>
                <w:snapToGrid w:val="0"/>
                <w:color w:val="auto"/>
                <w:kern w:val="0"/>
                <w:sz w:val="24"/>
                <w:highlight w:val="none"/>
              </w:rPr>
            </w:pPr>
            <w:r>
              <w:rPr>
                <w:rFonts w:hint="eastAsia" w:ascii="宋体" w:hAnsi="宋体" w:cs="宋体"/>
                <w:snapToGrid w:val="0"/>
                <w:color w:val="auto"/>
                <w:kern w:val="0"/>
                <w:sz w:val="24"/>
                <w:highlight w:val="none"/>
              </w:rPr>
              <w:t>①</w:t>
            </w:r>
            <w:r>
              <w:rPr>
                <w:snapToGrid w:val="0"/>
                <w:color w:val="auto"/>
                <w:kern w:val="0"/>
                <w:sz w:val="24"/>
                <w:highlight w:val="none"/>
              </w:rPr>
              <w:t>室内声源</w:t>
            </w:r>
          </w:p>
          <w:p w14:paraId="0D59CD20">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A.计算某一室内声源靠近围护结构处产生的倍频带声压级。计算公式如下：</w:t>
            </w:r>
          </w:p>
          <w:p w14:paraId="430FBB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rPr>
            </w:pPr>
            <w:r>
              <w:rPr>
                <w:color w:val="auto"/>
                <w:highlight w:val="none"/>
              </w:rPr>
              <w:drawing>
                <wp:inline distT="0" distB="0" distL="0" distR="0">
                  <wp:extent cx="1697355" cy="504825"/>
                  <wp:effectExtent l="0" t="0" r="17145" b="9525"/>
                  <wp:docPr id="19508406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840626" name="图片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697355" cy="504825"/>
                          </a:xfrm>
                          <a:prstGeom prst="rect">
                            <a:avLst/>
                          </a:prstGeom>
                          <a:noFill/>
                          <a:ln>
                            <a:noFill/>
                          </a:ln>
                        </pic:spPr>
                      </pic:pic>
                    </a:graphicData>
                  </a:graphic>
                </wp:inline>
              </w:drawing>
            </w:r>
          </w:p>
          <w:p w14:paraId="4D953FAD">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71B8A0D8">
            <w:pPr>
              <w:widowControl/>
              <w:adjustRightInd w:val="0"/>
              <w:snapToGrid w:val="0"/>
              <w:spacing w:line="440" w:lineRule="exact"/>
              <w:ind w:firstLine="480" w:firstLineChars="200"/>
              <w:rPr>
                <w:snapToGrid w:val="0"/>
                <w:color w:val="auto"/>
                <w:kern w:val="0"/>
                <w:sz w:val="24"/>
                <w:highlight w:val="none"/>
              </w:rPr>
            </w:pPr>
            <w:r>
              <w:rPr>
                <w:i/>
                <w:iCs/>
                <w:snapToGrid w:val="0"/>
                <w:color w:val="auto"/>
                <w:kern w:val="0"/>
                <w:sz w:val="24"/>
                <w:highlight w:val="none"/>
              </w:rPr>
              <w:t>L</w:t>
            </w:r>
            <w:r>
              <w:rPr>
                <w:i/>
                <w:iCs/>
                <w:snapToGrid w:val="0"/>
                <w:color w:val="auto"/>
                <w:kern w:val="0"/>
                <w:sz w:val="24"/>
                <w:highlight w:val="none"/>
                <w:vertAlign w:val="subscript"/>
              </w:rPr>
              <w:t>p1</w:t>
            </w:r>
            <w:r>
              <w:rPr>
                <w:snapToGrid w:val="0"/>
                <w:color w:val="auto"/>
                <w:kern w:val="0"/>
                <w:sz w:val="24"/>
                <w:highlight w:val="none"/>
              </w:rPr>
              <w:t>—靠近开口处（或窗户）室内某倍频带的声压级或A 声级，dB；</w:t>
            </w:r>
          </w:p>
          <w:p w14:paraId="52FF65DE">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w</w:t>
            </w:r>
            <w:r>
              <w:rPr>
                <w:snapToGrid w:val="0"/>
                <w:color w:val="auto"/>
                <w:kern w:val="0"/>
                <w:sz w:val="24"/>
                <w:highlight w:val="none"/>
              </w:rPr>
              <w:t>—点声源声功率级（A 计权或倍频带），dB；</w:t>
            </w:r>
          </w:p>
          <w:p w14:paraId="2AF3E8F7">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Q—指向性因数，通常对无指向性声源，当声源放在房间中心时，Q=1</w:t>
            </w:r>
            <w:r>
              <w:rPr>
                <w:rFonts w:hint="eastAsia"/>
                <w:snapToGrid w:val="0"/>
                <w:color w:val="auto"/>
                <w:kern w:val="0"/>
                <w:sz w:val="24"/>
                <w:highlight w:val="none"/>
                <w:lang w:eastAsia="zh-CN"/>
              </w:rPr>
              <w:t>；</w:t>
            </w:r>
            <w:r>
              <w:rPr>
                <w:snapToGrid w:val="0"/>
                <w:color w:val="auto"/>
                <w:kern w:val="0"/>
                <w:sz w:val="24"/>
                <w:highlight w:val="none"/>
              </w:rPr>
              <w:t>当放在一面墙的中心时，Q=2；当放在两面墙夹角处时，Q=4</w:t>
            </w:r>
            <w:r>
              <w:rPr>
                <w:rFonts w:hint="eastAsia"/>
                <w:snapToGrid w:val="0"/>
                <w:color w:val="auto"/>
                <w:kern w:val="0"/>
                <w:sz w:val="24"/>
                <w:highlight w:val="none"/>
                <w:lang w:eastAsia="zh-CN"/>
              </w:rPr>
              <w:t>；</w:t>
            </w:r>
            <w:r>
              <w:rPr>
                <w:snapToGrid w:val="0"/>
                <w:color w:val="auto"/>
                <w:kern w:val="0"/>
                <w:sz w:val="24"/>
                <w:highlight w:val="none"/>
              </w:rPr>
              <w:t>当放在三面墙夹角处时，Q=8；</w:t>
            </w:r>
          </w:p>
          <w:p w14:paraId="6A3D141C">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R—房间常数，R=Sα/(1</w:t>
            </w:r>
            <w:r>
              <w:rPr>
                <w:rFonts w:eastAsia="微软雅黑"/>
                <w:snapToGrid w:val="0"/>
                <w:color w:val="auto"/>
                <w:kern w:val="0"/>
                <w:sz w:val="24"/>
                <w:highlight w:val="none"/>
              </w:rPr>
              <w:t>−</w:t>
            </w:r>
            <w:r>
              <w:rPr>
                <w:snapToGrid w:val="0"/>
                <w:color w:val="auto"/>
                <w:kern w:val="0"/>
                <w:sz w:val="24"/>
                <w:highlight w:val="none"/>
              </w:rPr>
              <w:t>α</w:t>
            </w:r>
            <w:r>
              <w:rPr>
                <w:rFonts w:hint="eastAsia"/>
                <w:snapToGrid w:val="0"/>
                <w:color w:val="auto"/>
                <w:kern w:val="0"/>
                <w:sz w:val="24"/>
                <w:highlight w:val="none"/>
                <w:lang w:eastAsia="zh-CN"/>
              </w:rPr>
              <w:t>）</w:t>
            </w:r>
            <w:r>
              <w:rPr>
                <w:snapToGrid w:val="0"/>
                <w:color w:val="auto"/>
                <w:kern w:val="0"/>
                <w:sz w:val="24"/>
                <w:highlight w:val="none"/>
              </w:rPr>
              <w:t>，S为房间内表面面积，m</w:t>
            </w:r>
            <w:r>
              <w:rPr>
                <w:snapToGrid w:val="0"/>
                <w:color w:val="auto"/>
                <w:kern w:val="0"/>
                <w:sz w:val="24"/>
                <w:highlight w:val="none"/>
                <w:vertAlign w:val="superscript"/>
              </w:rPr>
              <w:t>2</w:t>
            </w:r>
            <w:r>
              <w:rPr>
                <w:snapToGrid w:val="0"/>
                <w:color w:val="auto"/>
                <w:kern w:val="0"/>
                <w:sz w:val="24"/>
                <w:highlight w:val="none"/>
              </w:rPr>
              <w:t>，α为平均吸声系数；</w:t>
            </w:r>
          </w:p>
          <w:p w14:paraId="443961D8">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r—声源到靠近围护结构某点处的距离，m。</w:t>
            </w:r>
          </w:p>
          <w:p w14:paraId="686B75FB">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B.计算出所有室内声源在围护结构处产生的i</w:t>
            </w:r>
            <w:r>
              <w:rPr>
                <w:rFonts w:hint="eastAsia"/>
                <w:snapToGrid w:val="0"/>
                <w:color w:val="auto"/>
                <w:kern w:val="0"/>
                <w:sz w:val="24"/>
                <w:highlight w:val="none"/>
                <w:lang w:val="en-US" w:eastAsia="zh-CN"/>
              </w:rPr>
              <w:t xml:space="preserve"> </w:t>
            </w:r>
            <w:r>
              <w:rPr>
                <w:snapToGrid w:val="0"/>
                <w:color w:val="auto"/>
                <w:kern w:val="0"/>
                <w:sz w:val="24"/>
                <w:highlight w:val="none"/>
              </w:rPr>
              <w:t>倍频带叠加声压级。计算公式如下：</w:t>
            </w:r>
          </w:p>
          <w:p w14:paraId="7D9A0834">
            <w:pPr>
              <w:widowControl/>
              <w:adjustRightInd w:val="0"/>
              <w:snapToGrid w:val="0"/>
              <w:spacing w:line="460" w:lineRule="exact"/>
              <w:rPr>
                <w:color w:val="auto"/>
                <w:sz w:val="24"/>
                <w:highlight w:val="none"/>
              </w:rPr>
            </w:pPr>
            <w:r>
              <w:rPr>
                <w:color w:val="auto"/>
                <w:sz w:val="24"/>
                <w:highlight w:val="none"/>
              </w:rPr>
              <w:drawing>
                <wp:anchor distT="0" distB="0" distL="114300" distR="114300" simplePos="0" relativeHeight="251663360" behindDoc="0" locked="0" layoutInCell="1" allowOverlap="1">
                  <wp:simplePos x="0" y="0"/>
                  <wp:positionH relativeFrom="column">
                    <wp:posOffset>1657985</wp:posOffset>
                  </wp:positionH>
                  <wp:positionV relativeFrom="paragraph">
                    <wp:posOffset>-635</wp:posOffset>
                  </wp:positionV>
                  <wp:extent cx="1908175" cy="516890"/>
                  <wp:effectExtent l="0" t="0" r="15875" b="16510"/>
                  <wp:wrapNone/>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908175" cy="516890"/>
                          </a:xfrm>
                          <a:prstGeom prst="rect">
                            <a:avLst/>
                          </a:prstGeom>
                          <a:noFill/>
                          <a:ln>
                            <a:noFill/>
                          </a:ln>
                        </pic:spPr>
                      </pic:pic>
                    </a:graphicData>
                  </a:graphic>
                </wp:anchor>
              </w:drawing>
            </w:r>
          </w:p>
          <w:p w14:paraId="1939B3EB">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55B8101E">
            <w:pPr>
              <w:widowControl/>
              <w:adjustRightInd w:val="0"/>
              <w:snapToGrid w:val="0"/>
              <w:spacing w:line="440" w:lineRule="exact"/>
              <w:ind w:firstLine="480" w:firstLineChars="200"/>
              <w:rPr>
                <w:snapToGrid w:val="0"/>
                <w:color w:val="auto"/>
                <w:kern w:val="0"/>
                <w:sz w:val="24"/>
                <w:highlight w:val="none"/>
              </w:rPr>
            </w:pPr>
            <w:bookmarkStart w:id="151" w:name="sys1922036"/>
            <w:r>
              <w:rPr>
                <w:snapToGrid w:val="0"/>
                <w:color w:val="auto"/>
                <w:kern w:val="0"/>
                <w:sz w:val="24"/>
                <w:highlight w:val="none"/>
              </w:rPr>
              <w:t>L</w:t>
            </w:r>
            <w:r>
              <w:rPr>
                <w:snapToGrid w:val="0"/>
                <w:color w:val="auto"/>
                <w:kern w:val="0"/>
                <w:sz w:val="24"/>
                <w:highlight w:val="none"/>
                <w:vertAlign w:val="subscript"/>
              </w:rPr>
              <w:t>pli</w:t>
            </w:r>
            <w:r>
              <w:rPr>
                <w:snapToGrid w:val="0"/>
                <w:color w:val="auto"/>
                <w:kern w:val="0"/>
                <w:sz w:val="24"/>
                <w:highlight w:val="none"/>
              </w:rPr>
              <w:t>(T)—靠近围护结构处室内N 个声源i倍频带的叠加声压级，dB；</w:t>
            </w:r>
            <w:bookmarkEnd w:id="151"/>
          </w:p>
          <w:p w14:paraId="114F2F42">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plij</w:t>
            </w:r>
            <w:r>
              <w:rPr>
                <w:snapToGrid w:val="0"/>
                <w:color w:val="auto"/>
                <w:kern w:val="0"/>
                <w:sz w:val="24"/>
                <w:highlight w:val="none"/>
              </w:rPr>
              <w:t xml:space="preserve"> —室内j 声源i 倍频带的声压级，dB；</w:t>
            </w:r>
          </w:p>
          <w:p w14:paraId="25D4C115">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N—室内声源总数。</w:t>
            </w:r>
          </w:p>
          <w:p w14:paraId="6E000EC1">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C.计算出靠近室外围护结构处的声压级。计算公式如下：</w:t>
            </w:r>
          </w:p>
          <w:p w14:paraId="1342F0EF">
            <w:pPr>
              <w:pStyle w:val="12"/>
              <w:jc w:val="center"/>
              <w:rPr>
                <w:color w:val="auto"/>
                <w:highlight w:val="none"/>
              </w:rPr>
            </w:pPr>
            <w:r>
              <w:rPr>
                <w:color w:val="auto"/>
                <w:sz w:val="24"/>
                <w:szCs w:val="24"/>
                <w:highlight w:val="none"/>
              </w:rPr>
              <w:drawing>
                <wp:inline distT="0" distB="0" distL="114300" distR="114300">
                  <wp:extent cx="2457450" cy="397510"/>
                  <wp:effectExtent l="0" t="0" r="0" b="254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28"/>
                          <a:stretch>
                            <a:fillRect/>
                          </a:stretch>
                        </pic:blipFill>
                        <pic:spPr>
                          <a:xfrm>
                            <a:off x="0" y="0"/>
                            <a:ext cx="2457450" cy="397510"/>
                          </a:xfrm>
                          <a:prstGeom prst="rect">
                            <a:avLst/>
                          </a:prstGeom>
                          <a:noFill/>
                          <a:ln>
                            <a:noFill/>
                          </a:ln>
                        </pic:spPr>
                      </pic:pic>
                    </a:graphicData>
                  </a:graphic>
                </wp:inline>
              </w:drawing>
            </w:r>
          </w:p>
          <w:p w14:paraId="0A21CD2E">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4DC914B5">
            <w:pPr>
              <w:widowControl/>
              <w:adjustRightInd w:val="0"/>
              <w:snapToGrid w:val="0"/>
              <w:spacing w:line="440" w:lineRule="exact"/>
              <w:ind w:firstLine="480" w:firstLineChars="200"/>
              <w:rPr>
                <w:snapToGrid w:val="0"/>
                <w:color w:val="auto"/>
                <w:kern w:val="0"/>
                <w:sz w:val="24"/>
                <w:highlight w:val="none"/>
              </w:rPr>
            </w:pPr>
            <w:bookmarkStart w:id="152" w:name="sys1928036"/>
            <w:r>
              <w:rPr>
                <w:snapToGrid w:val="0"/>
                <w:color w:val="auto"/>
                <w:kern w:val="0"/>
                <w:sz w:val="24"/>
                <w:highlight w:val="none"/>
              </w:rPr>
              <w:t>L</w:t>
            </w:r>
            <w:r>
              <w:rPr>
                <w:snapToGrid w:val="0"/>
                <w:color w:val="auto"/>
                <w:kern w:val="0"/>
                <w:sz w:val="24"/>
                <w:highlight w:val="none"/>
                <w:vertAlign w:val="subscript"/>
              </w:rPr>
              <w:t>p2i</w:t>
            </w:r>
            <w:r>
              <w:rPr>
                <w:snapToGrid w:val="0"/>
                <w:color w:val="auto"/>
                <w:kern w:val="0"/>
                <w:sz w:val="24"/>
                <w:highlight w:val="none"/>
              </w:rPr>
              <w:t>(T)—靠近围护结构处室外N 个声源i倍频带的叠加声压级，dB；</w:t>
            </w:r>
            <w:bookmarkEnd w:id="152"/>
          </w:p>
          <w:p w14:paraId="362C4A08">
            <w:pPr>
              <w:widowControl/>
              <w:adjustRightInd w:val="0"/>
              <w:snapToGrid w:val="0"/>
              <w:spacing w:line="440" w:lineRule="exact"/>
              <w:ind w:firstLine="480" w:firstLineChars="200"/>
              <w:rPr>
                <w:snapToGrid w:val="0"/>
                <w:color w:val="auto"/>
                <w:kern w:val="0"/>
                <w:sz w:val="24"/>
                <w:highlight w:val="none"/>
              </w:rPr>
            </w:pPr>
            <w:bookmarkStart w:id="153" w:name="sys1929036"/>
            <w:r>
              <w:rPr>
                <w:snapToGrid w:val="0"/>
                <w:color w:val="auto"/>
                <w:kern w:val="0"/>
                <w:sz w:val="24"/>
                <w:highlight w:val="none"/>
              </w:rPr>
              <w:t>L</w:t>
            </w:r>
            <w:r>
              <w:rPr>
                <w:snapToGrid w:val="0"/>
                <w:color w:val="auto"/>
                <w:kern w:val="0"/>
                <w:sz w:val="24"/>
                <w:highlight w:val="none"/>
                <w:vertAlign w:val="subscript"/>
              </w:rPr>
              <w:t>p1i</w:t>
            </w:r>
            <w:r>
              <w:rPr>
                <w:snapToGrid w:val="0"/>
                <w:color w:val="auto"/>
                <w:kern w:val="0"/>
                <w:sz w:val="24"/>
                <w:highlight w:val="none"/>
              </w:rPr>
              <w:t>(T)—靠近围护结构处室内N 个声源i倍频带的叠加声压级，dB；</w:t>
            </w:r>
            <w:bookmarkEnd w:id="153"/>
          </w:p>
          <w:p w14:paraId="5C20EC6C">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TL</w:t>
            </w:r>
            <w:r>
              <w:rPr>
                <w:snapToGrid w:val="0"/>
                <w:color w:val="auto"/>
                <w:kern w:val="0"/>
                <w:sz w:val="24"/>
                <w:highlight w:val="none"/>
                <w:vertAlign w:val="subscript"/>
              </w:rPr>
              <w:t>i</w:t>
            </w:r>
            <w:r>
              <w:rPr>
                <w:snapToGrid w:val="0"/>
                <w:color w:val="auto"/>
                <w:kern w:val="0"/>
                <w:sz w:val="24"/>
                <w:highlight w:val="none"/>
              </w:rPr>
              <w:t>—围护结构i 倍频带的隔声量，dB；</w:t>
            </w:r>
          </w:p>
          <w:p w14:paraId="761ACB11">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D.将室外声源的声压级和透过面积换算成等效的室外声源，计算出中心位置位于透声面积（S）处的等效声源的倍频带声功率级。计算公式如下：</w:t>
            </w:r>
          </w:p>
          <w:p w14:paraId="7CED313A">
            <w:pPr>
              <w:pStyle w:val="12"/>
              <w:jc w:val="center"/>
              <w:rPr>
                <w:color w:val="auto"/>
                <w:highlight w:val="none"/>
              </w:rPr>
            </w:pPr>
            <w:r>
              <w:rPr>
                <w:color w:val="auto"/>
                <w:sz w:val="24"/>
                <w:szCs w:val="24"/>
                <w:highlight w:val="none"/>
              </w:rPr>
              <w:drawing>
                <wp:inline distT="0" distB="0" distL="114300" distR="114300">
                  <wp:extent cx="1527810" cy="453390"/>
                  <wp:effectExtent l="0" t="0" r="15240" b="3810"/>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29"/>
                          <a:stretch>
                            <a:fillRect/>
                          </a:stretch>
                        </pic:blipFill>
                        <pic:spPr>
                          <a:xfrm>
                            <a:off x="0" y="0"/>
                            <a:ext cx="1527810" cy="453390"/>
                          </a:xfrm>
                          <a:prstGeom prst="rect">
                            <a:avLst/>
                          </a:prstGeom>
                          <a:noFill/>
                          <a:ln>
                            <a:noFill/>
                          </a:ln>
                        </pic:spPr>
                      </pic:pic>
                    </a:graphicData>
                  </a:graphic>
                </wp:inline>
              </w:drawing>
            </w:r>
          </w:p>
          <w:p w14:paraId="32866732">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6931BD02">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w</w:t>
            </w:r>
            <w:r>
              <w:rPr>
                <w:snapToGrid w:val="0"/>
                <w:color w:val="auto"/>
                <w:kern w:val="0"/>
                <w:sz w:val="24"/>
                <w:highlight w:val="none"/>
              </w:rPr>
              <w:t>—中心位置位于透声面积（S）处的等效声源的倍频带声功率级，dB；</w:t>
            </w:r>
          </w:p>
          <w:p w14:paraId="342CD962">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p2</w:t>
            </w:r>
            <w:r>
              <w:rPr>
                <w:snapToGrid w:val="0"/>
                <w:color w:val="auto"/>
                <w:kern w:val="0"/>
                <w:sz w:val="24"/>
                <w:highlight w:val="none"/>
              </w:rPr>
              <w:t>（T）—靠近围护结构处室外声源的声压级，dB；</w:t>
            </w:r>
          </w:p>
          <w:p w14:paraId="379C4E68">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S—透声面积，m</w:t>
            </w:r>
            <w:r>
              <w:rPr>
                <w:snapToGrid w:val="0"/>
                <w:color w:val="auto"/>
                <w:kern w:val="0"/>
                <w:sz w:val="24"/>
                <w:highlight w:val="none"/>
                <w:vertAlign w:val="superscript"/>
              </w:rPr>
              <w:t>2</w:t>
            </w:r>
            <w:r>
              <w:rPr>
                <w:snapToGrid w:val="0"/>
                <w:color w:val="auto"/>
                <w:kern w:val="0"/>
                <w:sz w:val="24"/>
                <w:highlight w:val="none"/>
              </w:rPr>
              <w:t>；</w:t>
            </w:r>
          </w:p>
          <w:p w14:paraId="0278C267">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然后按室外声源预测方法计算预测点处的A 声级。</w:t>
            </w:r>
          </w:p>
          <w:p w14:paraId="6DC69BFE">
            <w:pPr>
              <w:widowControl/>
              <w:adjustRightInd w:val="0"/>
              <w:snapToGrid w:val="0"/>
              <w:spacing w:line="440" w:lineRule="exact"/>
              <w:ind w:firstLine="480" w:firstLineChars="200"/>
              <w:rPr>
                <w:snapToGrid w:val="0"/>
                <w:color w:val="auto"/>
                <w:kern w:val="0"/>
                <w:sz w:val="24"/>
                <w:highlight w:val="none"/>
              </w:rPr>
            </w:pPr>
            <w:r>
              <w:rPr>
                <w:rFonts w:hint="eastAsia" w:ascii="宋体" w:hAnsi="宋体" w:cs="宋体"/>
                <w:snapToGrid w:val="0"/>
                <w:color w:val="auto"/>
                <w:kern w:val="0"/>
                <w:sz w:val="24"/>
                <w:highlight w:val="none"/>
              </w:rPr>
              <w:t>②</w:t>
            </w:r>
            <w:r>
              <w:rPr>
                <w:snapToGrid w:val="0"/>
                <w:color w:val="auto"/>
                <w:kern w:val="0"/>
                <w:sz w:val="24"/>
                <w:highlight w:val="none"/>
              </w:rPr>
              <w:t>室外声源</w:t>
            </w:r>
          </w:p>
          <w:p w14:paraId="775B506A">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室外声源在预测点产生的声级计算模型见附录A。项目各噪声源都按点声源处理，根据声长特点，其预测模式为：</w:t>
            </w:r>
          </w:p>
          <w:p w14:paraId="0E41C9E3">
            <w:pPr>
              <w:keepNext w:val="0"/>
              <w:keepLines w:val="0"/>
              <w:pageBreakBefore w:val="0"/>
              <w:widowControl/>
              <w:kinsoku/>
              <w:wordWrap/>
              <w:overflowPunct/>
              <w:topLinePunct w:val="0"/>
              <w:autoSpaceDE/>
              <w:autoSpaceDN/>
              <w:bidi w:val="0"/>
              <w:adjustRightInd w:val="0"/>
              <w:snapToGrid w:val="0"/>
              <w:spacing w:line="240" w:lineRule="auto"/>
              <w:ind w:firstLine="200"/>
              <w:jc w:val="center"/>
              <w:textAlignment w:val="auto"/>
              <w:rPr>
                <w:color w:val="auto"/>
                <w:sz w:val="24"/>
                <w:highlight w:val="none"/>
              </w:rPr>
            </w:pPr>
            <w:r>
              <w:rPr>
                <w:color w:val="auto"/>
                <w:sz w:val="24"/>
                <w:highlight w:val="none"/>
              </w:rPr>
              <w:drawing>
                <wp:inline distT="0" distB="0" distL="114300" distR="114300">
                  <wp:extent cx="3314700" cy="389890"/>
                  <wp:effectExtent l="0" t="0" r="0" b="1016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30"/>
                          <a:stretch>
                            <a:fillRect/>
                          </a:stretch>
                        </pic:blipFill>
                        <pic:spPr>
                          <a:xfrm>
                            <a:off x="0" y="0"/>
                            <a:ext cx="3314700" cy="389890"/>
                          </a:xfrm>
                          <a:prstGeom prst="rect">
                            <a:avLst/>
                          </a:prstGeom>
                          <a:noFill/>
                          <a:ln>
                            <a:noFill/>
                          </a:ln>
                        </pic:spPr>
                      </pic:pic>
                    </a:graphicData>
                  </a:graphic>
                </wp:inline>
              </w:drawing>
            </w:r>
          </w:p>
          <w:p w14:paraId="0CEAB66D">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2365267A">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Lp(r)——预测点处声压级，dB；</w:t>
            </w:r>
          </w:p>
          <w:p w14:paraId="7A81D69B">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Lp(r</w:t>
            </w:r>
            <w:r>
              <w:rPr>
                <w:snapToGrid w:val="0"/>
                <w:color w:val="auto"/>
                <w:kern w:val="0"/>
                <w:sz w:val="24"/>
                <w:highlight w:val="none"/>
                <w:vertAlign w:val="subscript"/>
              </w:rPr>
              <w:t>0</w:t>
            </w:r>
            <w:r>
              <w:rPr>
                <w:snapToGrid w:val="0"/>
                <w:color w:val="auto"/>
                <w:kern w:val="0"/>
                <w:sz w:val="24"/>
                <w:highlight w:val="none"/>
              </w:rPr>
              <w:t>)——参考位置r</w:t>
            </w:r>
            <w:r>
              <w:rPr>
                <w:snapToGrid w:val="0"/>
                <w:color w:val="auto"/>
                <w:kern w:val="0"/>
                <w:sz w:val="24"/>
                <w:highlight w:val="none"/>
                <w:vertAlign w:val="subscript"/>
              </w:rPr>
              <w:t>0</w:t>
            </w:r>
            <w:r>
              <w:rPr>
                <w:snapToGrid w:val="0"/>
                <w:color w:val="auto"/>
                <w:kern w:val="0"/>
                <w:sz w:val="24"/>
                <w:highlight w:val="none"/>
              </w:rPr>
              <w:t xml:space="preserve"> 处的声压级，dB；</w:t>
            </w:r>
          </w:p>
          <w:p w14:paraId="6212F2AA">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D</w:t>
            </w:r>
            <w:r>
              <w:rPr>
                <w:snapToGrid w:val="0"/>
                <w:color w:val="auto"/>
                <w:kern w:val="0"/>
                <w:sz w:val="24"/>
                <w:highlight w:val="none"/>
                <w:vertAlign w:val="subscript"/>
              </w:rPr>
              <w:t>C</w:t>
            </w:r>
            <w:r>
              <w:rPr>
                <w:snapToGrid w:val="0"/>
                <w:color w:val="auto"/>
                <w:kern w:val="0"/>
                <w:sz w:val="24"/>
                <w:highlight w:val="none"/>
              </w:rPr>
              <w:t xml:space="preserve"> ——指向性校正，它描述点声源的等效连续声压级与产生声功率级Lw 的全向点声源在规定方向的声级的偏差程度，dB；</w:t>
            </w:r>
          </w:p>
          <w:p w14:paraId="0BF4556D">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A</w:t>
            </w:r>
            <w:r>
              <w:rPr>
                <w:snapToGrid w:val="0"/>
                <w:color w:val="auto"/>
                <w:kern w:val="0"/>
                <w:sz w:val="24"/>
                <w:highlight w:val="none"/>
                <w:vertAlign w:val="subscript"/>
              </w:rPr>
              <w:t>div</w:t>
            </w:r>
            <w:r>
              <w:rPr>
                <w:snapToGrid w:val="0"/>
                <w:color w:val="auto"/>
                <w:kern w:val="0"/>
                <w:sz w:val="24"/>
                <w:highlight w:val="none"/>
              </w:rPr>
              <w:t xml:space="preserve"> ——几何发散引起的衰减，dB；</w:t>
            </w:r>
          </w:p>
          <w:p w14:paraId="377DFF21">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A</w:t>
            </w:r>
            <w:r>
              <w:rPr>
                <w:snapToGrid w:val="0"/>
                <w:color w:val="auto"/>
                <w:kern w:val="0"/>
                <w:sz w:val="24"/>
                <w:highlight w:val="none"/>
                <w:vertAlign w:val="subscript"/>
              </w:rPr>
              <w:t>atm</w:t>
            </w:r>
            <w:r>
              <w:rPr>
                <w:snapToGrid w:val="0"/>
                <w:color w:val="auto"/>
                <w:kern w:val="0"/>
                <w:sz w:val="24"/>
                <w:highlight w:val="none"/>
              </w:rPr>
              <w:t>——大气吸收引起的衰减，dB；</w:t>
            </w:r>
          </w:p>
          <w:p w14:paraId="77B1683B">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A</w:t>
            </w:r>
            <w:r>
              <w:rPr>
                <w:snapToGrid w:val="0"/>
                <w:color w:val="auto"/>
                <w:kern w:val="0"/>
                <w:sz w:val="24"/>
                <w:highlight w:val="none"/>
                <w:vertAlign w:val="subscript"/>
              </w:rPr>
              <w:t>gr</w:t>
            </w:r>
            <w:r>
              <w:rPr>
                <w:snapToGrid w:val="0"/>
                <w:color w:val="auto"/>
                <w:kern w:val="0"/>
                <w:sz w:val="24"/>
                <w:highlight w:val="none"/>
              </w:rPr>
              <w:t>——地面效应引起的衰减，dB；</w:t>
            </w:r>
          </w:p>
          <w:p w14:paraId="6BF89811">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A</w:t>
            </w:r>
            <w:r>
              <w:rPr>
                <w:snapToGrid w:val="0"/>
                <w:color w:val="auto"/>
                <w:kern w:val="0"/>
                <w:sz w:val="24"/>
                <w:highlight w:val="none"/>
                <w:vertAlign w:val="subscript"/>
              </w:rPr>
              <w:t>bar</w:t>
            </w:r>
            <w:r>
              <w:rPr>
                <w:snapToGrid w:val="0"/>
                <w:color w:val="auto"/>
                <w:kern w:val="0"/>
                <w:sz w:val="24"/>
                <w:highlight w:val="none"/>
              </w:rPr>
              <w:t xml:space="preserve"> ——障碍物屏蔽引起的衰减，dB；</w:t>
            </w:r>
          </w:p>
          <w:p w14:paraId="3AEEAF19">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A</w:t>
            </w:r>
            <w:r>
              <w:rPr>
                <w:snapToGrid w:val="0"/>
                <w:color w:val="auto"/>
                <w:kern w:val="0"/>
                <w:sz w:val="24"/>
                <w:highlight w:val="none"/>
                <w:vertAlign w:val="subscript"/>
              </w:rPr>
              <w:t>misc</w:t>
            </w:r>
            <w:r>
              <w:rPr>
                <w:snapToGrid w:val="0"/>
                <w:color w:val="auto"/>
                <w:kern w:val="0"/>
                <w:sz w:val="24"/>
                <w:highlight w:val="none"/>
              </w:rPr>
              <w:t>——其他多方面效应引起的衰减，dB。</w:t>
            </w:r>
          </w:p>
          <w:p w14:paraId="71C033B6">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项目中噪声源都按点声源处理，无指向性点声源几何发散衰减的基本公式是：</w:t>
            </w:r>
          </w:p>
          <w:p w14:paraId="758CC0F4">
            <w:pPr>
              <w:pStyle w:val="12"/>
              <w:jc w:val="center"/>
              <w:rPr>
                <w:color w:val="auto"/>
                <w:highlight w:val="none"/>
              </w:rPr>
            </w:pPr>
            <w:r>
              <w:rPr>
                <w:color w:val="auto"/>
                <w:sz w:val="24"/>
                <w:szCs w:val="24"/>
                <w:highlight w:val="none"/>
              </w:rPr>
              <w:drawing>
                <wp:inline distT="0" distB="0" distL="114300" distR="114300">
                  <wp:extent cx="2301240" cy="433705"/>
                  <wp:effectExtent l="0" t="0" r="3810" b="444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31"/>
                          <a:stretch>
                            <a:fillRect/>
                          </a:stretch>
                        </pic:blipFill>
                        <pic:spPr>
                          <a:xfrm>
                            <a:off x="0" y="0"/>
                            <a:ext cx="2301240" cy="433705"/>
                          </a:xfrm>
                          <a:prstGeom prst="rect">
                            <a:avLst/>
                          </a:prstGeom>
                          <a:noFill/>
                          <a:ln>
                            <a:noFill/>
                          </a:ln>
                        </pic:spPr>
                      </pic:pic>
                    </a:graphicData>
                  </a:graphic>
                </wp:inline>
              </w:drawing>
            </w:r>
          </w:p>
          <w:p w14:paraId="33D349F3">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4BC8CC1D">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p</w:t>
            </w:r>
            <w:r>
              <w:rPr>
                <w:snapToGrid w:val="0"/>
                <w:color w:val="auto"/>
                <w:kern w:val="0"/>
                <w:sz w:val="24"/>
                <w:highlight w:val="none"/>
              </w:rPr>
              <w:t>(r</w:t>
            </w:r>
            <w:sdt>
              <w:sdtPr>
                <w:rPr>
                  <w:color w:val="auto"/>
                </w:rPr>
                <w:alias w:val="多余空格"/>
                <w:tag w:val="reviewtag_auto"/>
                <w:id w:val="2053455"/>
              </w:sdtPr>
              <w:sdtEndPr>
                <w:rPr>
                  <w:color w:val="auto"/>
                </w:rPr>
              </w:sdtEndPr>
              <w:sdtContent>
                <w:bookmarkStart w:id="154" w:name="bkReivew2053455"/>
                <w:r>
                  <w:rPr>
                    <w:snapToGrid w:val="0"/>
                    <w:color w:val="auto"/>
                    <w:kern w:val="0"/>
                    <w:sz w:val="24"/>
                    <w:highlight w:val="none"/>
                  </w:rPr>
                  <w:t>) —</w:t>
                </w:r>
                <w:bookmarkEnd w:id="154"/>
              </w:sdtContent>
            </w:sdt>
            <w:r>
              <w:rPr>
                <w:snapToGrid w:val="0"/>
                <w:color w:val="auto"/>
                <w:kern w:val="0"/>
                <w:sz w:val="24"/>
                <w:highlight w:val="none"/>
              </w:rPr>
              <w:t>—预测点处声压级，dB；</w:t>
            </w:r>
          </w:p>
          <w:p w14:paraId="714B5065">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p</w:t>
            </w:r>
            <w:r>
              <w:rPr>
                <w:snapToGrid w:val="0"/>
                <w:color w:val="auto"/>
                <w:kern w:val="0"/>
                <w:sz w:val="24"/>
                <w:highlight w:val="none"/>
              </w:rPr>
              <w:t>(r</w:t>
            </w:r>
            <w:r>
              <w:rPr>
                <w:snapToGrid w:val="0"/>
                <w:color w:val="auto"/>
                <w:kern w:val="0"/>
                <w:sz w:val="24"/>
                <w:highlight w:val="none"/>
                <w:vertAlign w:val="subscript"/>
              </w:rPr>
              <w:t>0</w:t>
            </w:r>
            <w:sdt>
              <w:sdtPr>
                <w:rPr>
                  <w:color w:val="auto"/>
                </w:rPr>
                <w:alias w:val="多余空格"/>
                <w:tag w:val="reviewtag_auto"/>
                <w:id w:val="3020446"/>
              </w:sdtPr>
              <w:sdtEndPr>
                <w:rPr>
                  <w:color w:val="auto"/>
                </w:rPr>
              </w:sdtEndPr>
              <w:sdtContent>
                <w:bookmarkStart w:id="155" w:name="bkReivew3020446"/>
                <w:r>
                  <w:rPr>
                    <w:snapToGrid w:val="0"/>
                    <w:color w:val="auto"/>
                    <w:kern w:val="0"/>
                    <w:sz w:val="24"/>
                    <w:highlight w:val="none"/>
                  </w:rPr>
                  <w:t>) —</w:t>
                </w:r>
                <w:bookmarkEnd w:id="155"/>
              </w:sdtContent>
            </w:sdt>
            <w:r>
              <w:rPr>
                <w:snapToGrid w:val="0"/>
                <w:color w:val="auto"/>
                <w:kern w:val="0"/>
                <w:sz w:val="24"/>
                <w:highlight w:val="none"/>
              </w:rPr>
              <w:t>—参考位置r</w:t>
            </w:r>
            <w:r>
              <w:rPr>
                <w:snapToGrid w:val="0"/>
                <w:color w:val="auto"/>
                <w:kern w:val="0"/>
                <w:sz w:val="24"/>
                <w:highlight w:val="none"/>
                <w:vertAlign w:val="subscript"/>
              </w:rPr>
              <w:t xml:space="preserve">0 </w:t>
            </w:r>
            <w:r>
              <w:rPr>
                <w:snapToGrid w:val="0"/>
                <w:color w:val="auto"/>
                <w:kern w:val="0"/>
                <w:sz w:val="24"/>
                <w:highlight w:val="none"/>
              </w:rPr>
              <w:t>处的声压级，dB；</w:t>
            </w:r>
          </w:p>
          <w:p w14:paraId="7158270D">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r——预测点距声源的距离；</w:t>
            </w:r>
          </w:p>
          <w:p w14:paraId="5DDF215F">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r</w:t>
            </w:r>
            <w:r>
              <w:rPr>
                <w:snapToGrid w:val="0"/>
                <w:color w:val="auto"/>
                <w:kern w:val="0"/>
                <w:sz w:val="24"/>
                <w:highlight w:val="none"/>
                <w:vertAlign w:val="subscript"/>
              </w:rPr>
              <w:t>0</w:t>
            </w:r>
            <w:r>
              <w:rPr>
                <w:snapToGrid w:val="0"/>
                <w:color w:val="auto"/>
                <w:kern w:val="0"/>
                <w:sz w:val="24"/>
                <w:highlight w:val="none"/>
              </w:rPr>
              <w:t>——参考位置距声源的距离。</w:t>
            </w:r>
          </w:p>
          <w:p w14:paraId="541018E5">
            <w:pPr>
              <w:widowControl/>
              <w:adjustRightInd w:val="0"/>
              <w:snapToGrid w:val="0"/>
              <w:spacing w:line="440" w:lineRule="exact"/>
              <w:ind w:firstLine="480" w:firstLineChars="200"/>
              <w:rPr>
                <w:snapToGrid w:val="0"/>
                <w:color w:val="auto"/>
                <w:kern w:val="0"/>
                <w:sz w:val="24"/>
                <w:highlight w:val="none"/>
              </w:rPr>
            </w:pPr>
            <w:r>
              <w:rPr>
                <w:rFonts w:hint="eastAsia" w:ascii="宋体" w:hAnsi="宋体" w:cs="宋体"/>
                <w:snapToGrid w:val="0"/>
                <w:color w:val="auto"/>
                <w:kern w:val="0"/>
                <w:sz w:val="24"/>
                <w:highlight w:val="none"/>
              </w:rPr>
              <w:t>③</w:t>
            </w:r>
            <w:r>
              <w:rPr>
                <w:snapToGrid w:val="0"/>
                <w:color w:val="auto"/>
                <w:kern w:val="0"/>
                <w:sz w:val="24"/>
                <w:highlight w:val="none"/>
              </w:rPr>
              <w:t>噪声贡献值计算公式</w:t>
            </w:r>
          </w:p>
          <w:p w14:paraId="0897EBCD">
            <w:pPr>
              <w:pStyle w:val="12"/>
              <w:jc w:val="center"/>
              <w:rPr>
                <w:color w:val="auto"/>
                <w:highlight w:val="none"/>
              </w:rPr>
            </w:pPr>
            <w:r>
              <w:rPr>
                <w:color w:val="auto"/>
                <w:sz w:val="24"/>
                <w:szCs w:val="24"/>
                <w:highlight w:val="none"/>
              </w:rPr>
              <w:drawing>
                <wp:inline distT="0" distB="0" distL="114300" distR="114300">
                  <wp:extent cx="2305685" cy="572770"/>
                  <wp:effectExtent l="0" t="0" r="18415" b="1778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32"/>
                          <a:stretch>
                            <a:fillRect/>
                          </a:stretch>
                        </pic:blipFill>
                        <pic:spPr>
                          <a:xfrm>
                            <a:off x="0" y="0"/>
                            <a:ext cx="2305685" cy="572770"/>
                          </a:xfrm>
                          <a:prstGeom prst="rect">
                            <a:avLst/>
                          </a:prstGeom>
                          <a:noFill/>
                          <a:ln>
                            <a:noFill/>
                          </a:ln>
                        </pic:spPr>
                      </pic:pic>
                    </a:graphicData>
                  </a:graphic>
                </wp:inline>
              </w:drawing>
            </w:r>
          </w:p>
          <w:p w14:paraId="473DCC72">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式中：</w:t>
            </w:r>
          </w:p>
          <w:p w14:paraId="28D91B5D">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L</w:t>
            </w:r>
            <w:r>
              <w:rPr>
                <w:snapToGrid w:val="0"/>
                <w:color w:val="auto"/>
                <w:kern w:val="0"/>
                <w:sz w:val="24"/>
                <w:highlight w:val="none"/>
                <w:vertAlign w:val="subscript"/>
              </w:rPr>
              <w:t>eqg</w:t>
            </w:r>
            <w:r>
              <w:rPr>
                <w:snapToGrid w:val="0"/>
                <w:color w:val="auto"/>
                <w:kern w:val="0"/>
                <w:sz w:val="24"/>
                <w:highlight w:val="none"/>
              </w:rPr>
              <w:t>——建设项目声源在预测点产生的噪声贡献值，dB；</w:t>
            </w:r>
          </w:p>
          <w:p w14:paraId="2BFB927B">
            <w:pPr>
              <w:widowControl/>
              <w:adjustRightInd w:val="0"/>
              <w:snapToGrid w:val="0"/>
              <w:spacing w:line="440" w:lineRule="exact"/>
              <w:ind w:firstLine="480" w:firstLineChars="200"/>
              <w:rPr>
                <w:snapToGrid w:val="0"/>
                <w:color w:val="auto"/>
                <w:kern w:val="0"/>
                <w:sz w:val="24"/>
                <w:highlight w:val="none"/>
              </w:rPr>
            </w:pPr>
            <w:sdt>
              <w:sdtPr>
                <w:rPr>
                  <w:color w:val="auto"/>
                </w:rPr>
                <w:alias w:val="多余空格"/>
                <w:tag w:val="reviewtag_auto"/>
                <w:id w:val="131055"/>
              </w:sdtPr>
              <w:sdtEndPr>
                <w:rPr>
                  <w:color w:val="auto"/>
                </w:rPr>
              </w:sdtEndPr>
              <w:sdtContent>
                <w:bookmarkStart w:id="156" w:name="bkReivew131055"/>
                <w:r>
                  <w:rPr>
                    <w:snapToGrid w:val="0"/>
                    <w:color w:val="auto"/>
                    <w:kern w:val="0"/>
                    <w:sz w:val="24"/>
                    <w:highlight w:val="none"/>
                  </w:rPr>
                  <w:t>T —</w:t>
                </w:r>
                <w:bookmarkEnd w:id="156"/>
              </w:sdtContent>
            </w:sdt>
            <w:r>
              <w:rPr>
                <w:snapToGrid w:val="0"/>
                <w:color w:val="auto"/>
                <w:kern w:val="0"/>
                <w:sz w:val="24"/>
                <w:highlight w:val="none"/>
              </w:rPr>
              <w:t>—用于计算等效声级的时间，s；</w:t>
            </w:r>
          </w:p>
          <w:p w14:paraId="6D2F4E66">
            <w:pPr>
              <w:widowControl/>
              <w:adjustRightInd w:val="0"/>
              <w:snapToGrid w:val="0"/>
              <w:spacing w:line="440" w:lineRule="exact"/>
              <w:ind w:firstLine="480" w:firstLineChars="200"/>
              <w:rPr>
                <w:snapToGrid w:val="0"/>
                <w:color w:val="auto"/>
                <w:kern w:val="0"/>
                <w:sz w:val="24"/>
                <w:highlight w:val="none"/>
              </w:rPr>
            </w:pPr>
            <w:sdt>
              <w:sdtPr>
                <w:rPr>
                  <w:color w:val="auto"/>
                </w:rPr>
                <w:alias w:val="多余空格"/>
                <w:tag w:val="reviewtag_auto"/>
                <w:id w:val="2050522"/>
              </w:sdtPr>
              <w:sdtEndPr>
                <w:rPr>
                  <w:color w:val="auto"/>
                </w:rPr>
              </w:sdtEndPr>
              <w:sdtContent>
                <w:bookmarkStart w:id="157" w:name="bkReivew2050522"/>
                <w:r>
                  <w:rPr>
                    <w:snapToGrid w:val="0"/>
                    <w:color w:val="auto"/>
                    <w:kern w:val="0"/>
                    <w:sz w:val="24"/>
                    <w:highlight w:val="none"/>
                  </w:rPr>
                  <w:t>N —</w:t>
                </w:r>
                <w:bookmarkEnd w:id="157"/>
              </w:sdtContent>
            </w:sdt>
            <w:r>
              <w:rPr>
                <w:snapToGrid w:val="0"/>
                <w:color w:val="auto"/>
                <w:kern w:val="0"/>
                <w:sz w:val="24"/>
                <w:highlight w:val="none"/>
              </w:rPr>
              <w:t>—室外声源个数；</w:t>
            </w:r>
          </w:p>
          <w:p w14:paraId="4ADF9777">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t</w:t>
            </w:r>
            <w:r>
              <w:rPr>
                <w:snapToGrid w:val="0"/>
                <w:color w:val="auto"/>
                <w:kern w:val="0"/>
                <w:sz w:val="24"/>
                <w:highlight w:val="none"/>
                <w:vertAlign w:val="subscript"/>
              </w:rPr>
              <w:t>i</w:t>
            </w:r>
            <w:r>
              <w:rPr>
                <w:snapToGrid w:val="0"/>
                <w:color w:val="auto"/>
                <w:kern w:val="0"/>
                <w:sz w:val="24"/>
                <w:highlight w:val="none"/>
              </w:rPr>
              <w:t xml:space="preserve"> ——在T时间内i声源工作时间，s；</w:t>
            </w:r>
          </w:p>
          <w:p w14:paraId="7EC2862B">
            <w:pPr>
              <w:widowControl/>
              <w:adjustRightInd w:val="0"/>
              <w:snapToGrid w:val="0"/>
              <w:spacing w:line="440" w:lineRule="exact"/>
              <w:ind w:firstLine="480" w:firstLineChars="200"/>
              <w:rPr>
                <w:snapToGrid w:val="0"/>
                <w:color w:val="auto"/>
                <w:kern w:val="0"/>
                <w:sz w:val="24"/>
                <w:highlight w:val="none"/>
              </w:rPr>
            </w:pPr>
            <w:r>
              <w:rPr>
                <w:snapToGrid w:val="0"/>
                <w:color w:val="auto"/>
                <w:kern w:val="0"/>
                <w:sz w:val="24"/>
                <w:highlight w:val="none"/>
              </w:rPr>
              <w:t>M ——等效室外声源个</w:t>
            </w:r>
          </w:p>
          <w:p w14:paraId="07A22CF1">
            <w:pPr>
              <w:spacing w:line="440" w:lineRule="exact"/>
              <w:ind w:firstLine="480" w:firstLineChars="200"/>
              <w:rPr>
                <w:color w:val="auto"/>
                <w:sz w:val="24"/>
                <w:highlight w:val="none"/>
              </w:rPr>
            </w:pPr>
            <w:r>
              <w:rPr>
                <w:snapToGrid w:val="0"/>
                <w:color w:val="auto"/>
                <w:kern w:val="0"/>
                <w:sz w:val="24"/>
                <w:highlight w:val="none"/>
              </w:rPr>
              <w:t>t</w:t>
            </w:r>
            <w:r>
              <w:rPr>
                <w:snapToGrid w:val="0"/>
                <w:color w:val="auto"/>
                <w:kern w:val="0"/>
                <w:sz w:val="24"/>
                <w:highlight w:val="none"/>
                <w:vertAlign w:val="subscript"/>
              </w:rPr>
              <w:t>j</w:t>
            </w:r>
            <w:r>
              <w:rPr>
                <w:snapToGrid w:val="0"/>
                <w:color w:val="auto"/>
                <w:kern w:val="0"/>
                <w:sz w:val="24"/>
                <w:highlight w:val="none"/>
              </w:rPr>
              <w:t xml:space="preserve"> ——在T时间内j声源工作时间，s</w:t>
            </w:r>
            <w:r>
              <w:rPr>
                <w:color w:val="auto"/>
                <w:sz w:val="24"/>
                <w:highlight w:val="none"/>
              </w:rPr>
              <w:t>。</w:t>
            </w:r>
          </w:p>
          <w:p w14:paraId="73A2BCD7">
            <w:pPr>
              <w:spacing w:line="440" w:lineRule="exact"/>
              <w:ind w:firstLine="482" w:firstLineChars="200"/>
              <w:rPr>
                <w:b/>
                <w:bCs/>
                <w:color w:val="auto"/>
                <w:sz w:val="24"/>
                <w:highlight w:val="none"/>
              </w:rPr>
            </w:pPr>
            <w:r>
              <w:rPr>
                <w:b/>
                <w:bCs/>
                <w:color w:val="auto"/>
                <w:sz w:val="24"/>
                <w:highlight w:val="none"/>
              </w:rPr>
              <w:t>2）噪声预测结果及评价</w:t>
            </w:r>
          </w:p>
          <w:p w14:paraId="45337326">
            <w:pPr>
              <w:pStyle w:val="73"/>
              <w:spacing w:line="440" w:lineRule="exact"/>
              <w:rPr>
                <w:b/>
                <w:color w:val="auto"/>
                <w:highlight w:val="none"/>
              </w:rPr>
            </w:pPr>
            <w:r>
              <w:rPr>
                <w:rFonts w:hint="eastAsia"/>
                <w:color w:val="auto"/>
                <w:highlight w:val="none"/>
                <w:lang w:val="en-US" w:eastAsia="zh-CN"/>
              </w:rPr>
              <w:t>企业不夜间生产，</w:t>
            </w:r>
            <w:r>
              <w:rPr>
                <w:color w:val="auto"/>
                <w:highlight w:val="none"/>
              </w:rPr>
              <w:t>厂界噪声预测值见表4-</w:t>
            </w:r>
            <w:r>
              <w:rPr>
                <w:rFonts w:hint="eastAsia"/>
                <w:color w:val="auto"/>
                <w:highlight w:val="none"/>
                <w:lang w:val="en-US" w:eastAsia="zh-CN"/>
              </w:rPr>
              <w:t>10</w:t>
            </w:r>
            <w:r>
              <w:rPr>
                <w:color w:val="auto"/>
                <w:highlight w:val="none"/>
              </w:rPr>
              <w:t>。</w:t>
            </w:r>
          </w:p>
          <w:p w14:paraId="61D55A23">
            <w:pPr>
              <w:pStyle w:val="52"/>
              <w:bidi w:val="0"/>
              <w:ind w:left="5518" w:leftChars="0" w:hanging="5518" w:firstLineChars="0"/>
              <w:rPr>
                <w:color w:val="auto"/>
              </w:rPr>
            </w:pPr>
            <w:r>
              <w:rPr>
                <w:color w:val="auto"/>
              </w:rPr>
              <w:t>厂界噪声预测结果（单位：dB</w:t>
            </w:r>
            <w:sdt>
              <w:sdtPr>
                <w:rPr>
                  <w:color w:val="auto"/>
                </w:rPr>
                <w:alias w:val="标点符号错误"/>
                <w:tag w:val="reviewtag_FF0000"/>
                <w:id w:val="2112520"/>
              </w:sdtPr>
              <w:sdtEndPr>
                <w:rPr>
                  <w:color w:val="auto"/>
                </w:rPr>
              </w:sdtEndPr>
              <w:sdtContent>
                <w:bookmarkStart w:id="158" w:name="bkReivew2112520"/>
                <w:r>
                  <w:rPr>
                    <w:color w:val="auto"/>
                  </w:rPr>
                  <w:t>(</w:t>
                </w:r>
                <w:bookmarkEnd w:id="158"/>
              </w:sdtContent>
            </w:sdt>
            <w:r>
              <w:rPr>
                <w:color w:val="auto"/>
              </w:rPr>
              <w:t>A</w:t>
            </w:r>
            <w:sdt>
              <w:sdtPr>
                <w:rPr>
                  <w:color w:val="auto"/>
                </w:rPr>
                <w:alias w:val="标点符号错误"/>
                <w:tag w:val="reviewtag_FF0000"/>
                <w:id w:val="123332"/>
              </w:sdtPr>
              <w:sdtEndPr>
                <w:rPr>
                  <w:color w:val="auto"/>
                </w:rPr>
              </w:sdtEndPr>
              <w:sdtContent>
                <w:bookmarkStart w:id="159" w:name="bkReivew123332"/>
                <w:r>
                  <w:rPr>
                    <w:color w:val="auto"/>
                  </w:rPr>
                  <w:t>)</w:t>
                </w:r>
                <w:bookmarkEnd w:id="159"/>
              </w:sdtContent>
            </w:sdt>
            <w:r>
              <w:rPr>
                <w:color w:val="auto"/>
              </w:rPr>
              <w:t>）</w:t>
            </w:r>
          </w:p>
          <w:tbl>
            <w:tblPr>
              <w:tblStyle w:val="33"/>
              <w:tblW w:w="497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2164"/>
              <w:gridCol w:w="1178"/>
              <w:gridCol w:w="1178"/>
              <w:gridCol w:w="1178"/>
              <w:gridCol w:w="1195"/>
            </w:tblGrid>
            <w:tr w14:paraId="6CFA5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82" w:type="pct"/>
                  <w:vMerge w:val="restart"/>
                  <w:tcBorders>
                    <w:tl2br w:val="nil"/>
                    <w:tr2bl w:val="nil"/>
                  </w:tcBorders>
                  <w:noWrap w:val="0"/>
                  <w:vAlign w:val="center"/>
                </w:tcPr>
                <w:p w14:paraId="4FCB04F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时段</w:t>
                  </w:r>
                </w:p>
              </w:tc>
              <w:tc>
                <w:tcPr>
                  <w:tcW w:w="1355" w:type="pct"/>
                  <w:vMerge w:val="restart"/>
                  <w:tcBorders>
                    <w:tl2br w:val="nil"/>
                    <w:tr2bl w:val="nil"/>
                  </w:tcBorders>
                  <w:noWrap w:val="0"/>
                  <w:vAlign w:val="center"/>
                </w:tcPr>
                <w:p w14:paraId="4FC8B255">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项目</w:t>
                  </w:r>
                </w:p>
              </w:tc>
              <w:tc>
                <w:tcPr>
                  <w:tcW w:w="2962" w:type="pct"/>
                  <w:gridSpan w:val="4"/>
                  <w:tcBorders>
                    <w:tl2br w:val="nil"/>
                    <w:tr2bl w:val="nil"/>
                  </w:tcBorders>
                  <w:noWrap w:val="0"/>
                  <w:vAlign w:val="center"/>
                </w:tcPr>
                <w:p w14:paraId="4BAAD121">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点位</w:t>
                  </w:r>
                </w:p>
              </w:tc>
            </w:tr>
            <w:tr w14:paraId="33071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82" w:type="pct"/>
                  <w:vMerge w:val="continue"/>
                  <w:tcBorders>
                    <w:tl2br w:val="nil"/>
                    <w:tr2bl w:val="nil"/>
                  </w:tcBorders>
                  <w:noWrap w:val="0"/>
                  <w:vAlign w:val="center"/>
                </w:tcPr>
                <w:p w14:paraId="4D61BB2E">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p>
              </w:tc>
              <w:tc>
                <w:tcPr>
                  <w:tcW w:w="1355" w:type="pct"/>
                  <w:vMerge w:val="continue"/>
                  <w:tcBorders>
                    <w:tl2br w:val="nil"/>
                    <w:tr2bl w:val="nil"/>
                  </w:tcBorders>
                  <w:noWrap w:val="0"/>
                  <w:vAlign w:val="center"/>
                </w:tcPr>
                <w:p w14:paraId="07C0D51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p>
              </w:tc>
              <w:tc>
                <w:tcPr>
                  <w:tcW w:w="738" w:type="pct"/>
                  <w:tcBorders>
                    <w:tl2br w:val="nil"/>
                    <w:tr2bl w:val="nil"/>
                  </w:tcBorders>
                  <w:noWrap w:val="0"/>
                  <w:vAlign w:val="center"/>
                </w:tcPr>
                <w:p w14:paraId="576DF7E4">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东厂界</w:t>
                  </w:r>
                </w:p>
              </w:tc>
              <w:tc>
                <w:tcPr>
                  <w:tcW w:w="738" w:type="pct"/>
                  <w:tcBorders>
                    <w:tl2br w:val="nil"/>
                    <w:tr2bl w:val="nil"/>
                  </w:tcBorders>
                  <w:noWrap w:val="0"/>
                  <w:vAlign w:val="center"/>
                </w:tcPr>
                <w:p w14:paraId="2C982C24">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南厂界</w:t>
                  </w:r>
                </w:p>
              </w:tc>
              <w:tc>
                <w:tcPr>
                  <w:tcW w:w="738" w:type="pct"/>
                  <w:tcBorders>
                    <w:tl2br w:val="nil"/>
                    <w:tr2bl w:val="nil"/>
                  </w:tcBorders>
                  <w:noWrap w:val="0"/>
                  <w:vAlign w:val="center"/>
                </w:tcPr>
                <w:p w14:paraId="2087BB53">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西厂界</w:t>
                  </w:r>
                </w:p>
              </w:tc>
              <w:tc>
                <w:tcPr>
                  <w:tcW w:w="747" w:type="pct"/>
                  <w:tcBorders>
                    <w:tl2br w:val="nil"/>
                    <w:tr2bl w:val="nil"/>
                  </w:tcBorders>
                  <w:noWrap w:val="0"/>
                  <w:vAlign w:val="center"/>
                </w:tcPr>
                <w:p w14:paraId="48F8DED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北厂界</w:t>
                  </w:r>
                </w:p>
              </w:tc>
            </w:tr>
            <w:tr w14:paraId="1B2B91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pct"/>
                  <w:vMerge w:val="restart"/>
                  <w:tcBorders>
                    <w:tl2br w:val="nil"/>
                    <w:tr2bl w:val="nil"/>
                  </w:tcBorders>
                  <w:noWrap w:val="0"/>
                  <w:vAlign w:val="center"/>
                </w:tcPr>
                <w:p w14:paraId="36B6478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昼间</w:t>
                  </w:r>
                </w:p>
              </w:tc>
              <w:tc>
                <w:tcPr>
                  <w:tcW w:w="1355" w:type="pct"/>
                  <w:tcBorders>
                    <w:tl2br w:val="nil"/>
                    <w:tr2bl w:val="nil"/>
                  </w:tcBorders>
                  <w:shd w:val="clear" w:color="auto" w:fill="auto"/>
                  <w:noWrap w:val="0"/>
                  <w:vAlign w:val="center"/>
                </w:tcPr>
                <w:p w14:paraId="1CAFBD9E">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lang w:val="en-US" w:eastAsia="zh-CN"/>
                    </w:rPr>
                    <w:t>贡献值</w:t>
                  </w:r>
                </w:p>
              </w:tc>
              <w:tc>
                <w:tcPr>
                  <w:tcW w:w="738" w:type="pct"/>
                  <w:tcBorders>
                    <w:tl2br w:val="nil"/>
                    <w:tr2bl w:val="nil"/>
                  </w:tcBorders>
                  <w:shd w:val="clear" w:color="auto" w:fill="auto"/>
                  <w:noWrap w:val="0"/>
                  <w:vAlign w:val="center"/>
                </w:tcPr>
                <w:p w14:paraId="60828C4A">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39.24</w:t>
                  </w:r>
                </w:p>
              </w:tc>
              <w:tc>
                <w:tcPr>
                  <w:tcW w:w="738" w:type="pct"/>
                  <w:tcBorders>
                    <w:tl2br w:val="nil"/>
                    <w:tr2bl w:val="nil"/>
                  </w:tcBorders>
                  <w:shd w:val="clear" w:color="auto" w:fill="auto"/>
                  <w:noWrap w:val="0"/>
                  <w:vAlign w:val="center"/>
                </w:tcPr>
                <w:p w14:paraId="2405EAC1">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40.60</w:t>
                  </w:r>
                </w:p>
              </w:tc>
              <w:tc>
                <w:tcPr>
                  <w:tcW w:w="738" w:type="pct"/>
                  <w:tcBorders>
                    <w:tl2br w:val="nil"/>
                    <w:tr2bl w:val="nil"/>
                  </w:tcBorders>
                  <w:shd w:val="clear" w:color="auto" w:fill="auto"/>
                  <w:noWrap w:val="0"/>
                  <w:vAlign w:val="center"/>
                </w:tcPr>
                <w:p w14:paraId="059A66FA">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40.51</w:t>
                  </w:r>
                </w:p>
              </w:tc>
              <w:tc>
                <w:tcPr>
                  <w:tcW w:w="747" w:type="pct"/>
                  <w:tcBorders>
                    <w:tl2br w:val="nil"/>
                    <w:tr2bl w:val="nil"/>
                  </w:tcBorders>
                  <w:shd w:val="clear" w:color="auto" w:fill="auto"/>
                  <w:noWrap w:val="0"/>
                  <w:vAlign w:val="center"/>
                </w:tcPr>
                <w:p w14:paraId="187BD737">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40.79</w:t>
                  </w:r>
                </w:p>
              </w:tc>
            </w:tr>
            <w:tr w14:paraId="6CD8F1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pct"/>
                  <w:vMerge w:val="continue"/>
                  <w:tcBorders>
                    <w:tl2br w:val="nil"/>
                    <w:tr2bl w:val="nil"/>
                  </w:tcBorders>
                  <w:noWrap w:val="0"/>
                  <w:vAlign w:val="center"/>
                </w:tcPr>
                <w:p w14:paraId="5212E7D1">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p>
              </w:tc>
              <w:tc>
                <w:tcPr>
                  <w:tcW w:w="1355" w:type="pct"/>
                  <w:tcBorders>
                    <w:tl2br w:val="nil"/>
                    <w:tr2bl w:val="nil"/>
                  </w:tcBorders>
                  <w:noWrap w:val="0"/>
                  <w:vAlign w:val="center"/>
                </w:tcPr>
                <w:p w14:paraId="6ED2577E">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标准限值</w:t>
                  </w:r>
                </w:p>
              </w:tc>
              <w:tc>
                <w:tcPr>
                  <w:tcW w:w="738" w:type="pct"/>
                  <w:tcBorders>
                    <w:tl2br w:val="nil"/>
                    <w:tr2bl w:val="nil"/>
                  </w:tcBorders>
                  <w:noWrap w:val="0"/>
                  <w:vAlign w:val="center"/>
                </w:tcPr>
                <w:p w14:paraId="56D913C0">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olor w:val="auto"/>
                      <w:highlight w:val="none"/>
                      <w:lang w:val="en-US" w:eastAsia="zh-CN"/>
                    </w:rPr>
                    <w:t>65</w:t>
                  </w:r>
                </w:p>
              </w:tc>
              <w:tc>
                <w:tcPr>
                  <w:tcW w:w="738" w:type="pct"/>
                  <w:tcBorders>
                    <w:tl2br w:val="nil"/>
                    <w:tr2bl w:val="nil"/>
                  </w:tcBorders>
                  <w:noWrap w:val="0"/>
                  <w:vAlign w:val="center"/>
                </w:tcPr>
                <w:p w14:paraId="2DDF34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olor w:val="auto"/>
                      <w:sz w:val="21"/>
                      <w:szCs w:val="21"/>
                      <w:highlight w:val="none"/>
                      <w:lang w:val="en-US" w:eastAsia="zh-CN"/>
                    </w:rPr>
                    <w:t>65</w:t>
                  </w:r>
                </w:p>
              </w:tc>
              <w:tc>
                <w:tcPr>
                  <w:tcW w:w="738" w:type="pct"/>
                  <w:tcBorders>
                    <w:tl2br w:val="nil"/>
                    <w:tr2bl w:val="nil"/>
                  </w:tcBorders>
                  <w:noWrap w:val="0"/>
                  <w:vAlign w:val="center"/>
                </w:tcPr>
                <w:p w14:paraId="541AE4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cs="Times New Roman"/>
                      <w:color w:val="auto"/>
                      <w:sz w:val="21"/>
                      <w:szCs w:val="21"/>
                      <w:highlight w:val="none"/>
                      <w:lang w:val="en-US" w:eastAsia="zh-CN"/>
                    </w:rPr>
                  </w:pPr>
                  <w:r>
                    <w:rPr>
                      <w:rFonts w:hint="eastAsia"/>
                      <w:color w:val="auto"/>
                      <w:sz w:val="21"/>
                      <w:szCs w:val="21"/>
                      <w:highlight w:val="none"/>
                      <w:lang w:val="en-US" w:eastAsia="zh-CN"/>
                    </w:rPr>
                    <w:t>65</w:t>
                  </w:r>
                </w:p>
              </w:tc>
              <w:tc>
                <w:tcPr>
                  <w:tcW w:w="747" w:type="pct"/>
                  <w:tcBorders>
                    <w:tl2br w:val="nil"/>
                    <w:tr2bl w:val="nil"/>
                  </w:tcBorders>
                  <w:noWrap w:val="0"/>
                  <w:vAlign w:val="center"/>
                </w:tcPr>
                <w:p w14:paraId="43E8B8D2">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olor w:val="auto"/>
                      <w:highlight w:val="none"/>
                      <w:lang w:val="en-US" w:eastAsia="zh-CN"/>
                    </w:rPr>
                    <w:t>65</w:t>
                  </w:r>
                </w:p>
              </w:tc>
            </w:tr>
            <w:tr w14:paraId="216DE7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2" w:type="pct"/>
                  <w:vMerge w:val="continue"/>
                  <w:tcBorders>
                    <w:tl2br w:val="nil"/>
                    <w:tr2bl w:val="nil"/>
                  </w:tcBorders>
                  <w:noWrap w:val="0"/>
                  <w:vAlign w:val="center"/>
                </w:tcPr>
                <w:p w14:paraId="0C6D6CB8">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p>
              </w:tc>
              <w:tc>
                <w:tcPr>
                  <w:tcW w:w="1355" w:type="pct"/>
                  <w:tcBorders>
                    <w:tl2br w:val="nil"/>
                    <w:tr2bl w:val="nil"/>
                  </w:tcBorders>
                  <w:noWrap w:val="0"/>
                  <w:vAlign w:val="center"/>
                </w:tcPr>
                <w:p w14:paraId="03084FDA">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达标情况</w:t>
                  </w:r>
                </w:p>
              </w:tc>
              <w:tc>
                <w:tcPr>
                  <w:tcW w:w="738" w:type="pct"/>
                  <w:tcBorders>
                    <w:tl2br w:val="nil"/>
                    <w:tr2bl w:val="nil"/>
                  </w:tcBorders>
                  <w:noWrap w:val="0"/>
                  <w:vAlign w:val="center"/>
                </w:tcPr>
                <w:p w14:paraId="3ACE11EF">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738" w:type="pct"/>
                  <w:tcBorders>
                    <w:tl2br w:val="nil"/>
                    <w:tr2bl w:val="nil"/>
                  </w:tcBorders>
                  <w:noWrap w:val="0"/>
                  <w:vAlign w:val="center"/>
                </w:tcPr>
                <w:p w14:paraId="571FCBBA">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738" w:type="pct"/>
                  <w:tcBorders>
                    <w:tl2br w:val="nil"/>
                    <w:tr2bl w:val="nil"/>
                  </w:tcBorders>
                  <w:noWrap w:val="0"/>
                  <w:vAlign w:val="center"/>
                </w:tcPr>
                <w:p w14:paraId="39DA7BF0">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c>
                <w:tcPr>
                  <w:tcW w:w="747" w:type="pct"/>
                  <w:tcBorders>
                    <w:tl2br w:val="nil"/>
                    <w:tr2bl w:val="nil"/>
                  </w:tcBorders>
                  <w:noWrap w:val="0"/>
                  <w:vAlign w:val="center"/>
                </w:tcPr>
                <w:p w14:paraId="405A5489">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达标</w:t>
                  </w:r>
                </w:p>
              </w:tc>
            </w:tr>
          </w:tbl>
          <w:p w14:paraId="2CD85B42">
            <w:pPr>
              <w:spacing w:line="440" w:lineRule="exact"/>
              <w:ind w:firstLine="480" w:firstLineChars="200"/>
              <w:rPr>
                <w:color w:val="auto"/>
                <w:sz w:val="24"/>
                <w:highlight w:val="none"/>
              </w:rPr>
            </w:pPr>
            <w:r>
              <w:rPr>
                <w:rFonts w:hint="eastAsia"/>
                <w:color w:val="auto"/>
                <w:sz w:val="24"/>
                <w:highlight w:val="none"/>
                <w:lang w:val="en-US" w:eastAsia="zh-CN"/>
              </w:rPr>
              <w:t>由于本项目所在车间为租赁厂房的其中一部分，西侧无单独的厂界，因此以车间所在厂房整体的西侧作为厂界，车间的东、南、北侧作为厂界。</w:t>
            </w:r>
          </w:p>
          <w:p w14:paraId="73176A44">
            <w:pPr>
              <w:spacing w:line="440" w:lineRule="exact"/>
              <w:ind w:firstLine="480" w:firstLineChars="200"/>
              <w:rPr>
                <w:rFonts w:hint="eastAsia" w:eastAsia="宋体"/>
                <w:color w:val="auto"/>
                <w:highlight w:val="none"/>
                <w:lang w:val="en-US" w:eastAsia="zh-CN"/>
              </w:rPr>
            </w:pPr>
            <w:r>
              <w:rPr>
                <w:color w:val="auto"/>
                <w:sz w:val="24"/>
                <w:highlight w:val="none"/>
              </w:rPr>
              <w:t>综上所述，经</w:t>
            </w:r>
            <w:r>
              <w:rPr>
                <w:rFonts w:hint="eastAsia"/>
                <w:color w:val="auto"/>
                <w:sz w:val="24"/>
                <w:highlight w:val="none"/>
                <w:lang w:val="en-US" w:eastAsia="zh-CN"/>
              </w:rPr>
              <w:t>采取合理布局、厂房隔声、基础减振、</w:t>
            </w:r>
            <w:r>
              <w:rPr>
                <w:color w:val="auto"/>
                <w:sz w:val="24"/>
                <w:highlight w:val="none"/>
              </w:rPr>
              <w:t>距离衰减</w:t>
            </w:r>
            <w:r>
              <w:rPr>
                <w:rFonts w:hint="eastAsia"/>
                <w:color w:val="auto"/>
                <w:sz w:val="24"/>
                <w:highlight w:val="none"/>
                <w:lang w:val="en-US" w:eastAsia="zh-CN"/>
              </w:rPr>
              <w:t>等降噪措施</w:t>
            </w:r>
            <w:r>
              <w:rPr>
                <w:color w:val="auto"/>
                <w:sz w:val="24"/>
                <w:highlight w:val="none"/>
              </w:rPr>
              <w:t>后</w:t>
            </w:r>
            <w:r>
              <w:rPr>
                <w:rFonts w:hint="eastAsia"/>
                <w:color w:val="auto"/>
                <w:sz w:val="24"/>
                <w:highlight w:val="none"/>
                <w:lang w:eastAsia="zh-CN"/>
              </w:rPr>
              <w:t>，</w:t>
            </w:r>
            <w:r>
              <w:rPr>
                <w:color w:val="auto"/>
                <w:sz w:val="24"/>
                <w:highlight w:val="none"/>
              </w:rPr>
              <w:t>各噪声源对厂界的影响值较小。</w:t>
            </w:r>
            <w:r>
              <w:rPr>
                <w:color w:val="auto"/>
                <w:sz w:val="24"/>
              </w:rPr>
              <w:t>项目厂界噪声预测值满足《工业企业厂界环境噪声排放标准》（GB12348-2008）</w:t>
            </w:r>
            <w:r>
              <w:rPr>
                <w:rFonts w:hint="eastAsia"/>
                <w:color w:val="auto"/>
                <w:sz w:val="24"/>
                <w:lang w:val="en-US" w:eastAsia="zh-CN"/>
              </w:rPr>
              <w:t>3</w:t>
            </w:r>
            <w:r>
              <w:rPr>
                <w:color w:val="auto"/>
                <w:sz w:val="24"/>
              </w:rPr>
              <w:t>类要求</w:t>
            </w:r>
            <w:r>
              <w:rPr>
                <w:rFonts w:hint="eastAsia"/>
                <w:color w:val="auto"/>
                <w:sz w:val="24"/>
                <w:lang w:val="en-US" w:eastAsia="zh-CN"/>
              </w:rPr>
              <w:t>。</w:t>
            </w:r>
          </w:p>
          <w:p w14:paraId="74453563">
            <w:pPr>
              <w:ind w:firstLine="482"/>
              <w:rPr>
                <w:b/>
                <w:bCs/>
                <w:color w:val="auto"/>
                <w:highlight w:val="none"/>
              </w:rPr>
            </w:pPr>
            <w:r>
              <w:rPr>
                <w:b/>
                <w:bCs/>
                <w:color w:val="auto"/>
                <w:highlight w:val="none"/>
              </w:rPr>
              <w:t>（3）监测计划</w:t>
            </w:r>
          </w:p>
          <w:p w14:paraId="7B1D34BB">
            <w:pPr>
              <w:ind w:firstLine="480"/>
              <w:rPr>
                <w:color w:val="auto"/>
                <w:highlight w:val="none"/>
              </w:rPr>
            </w:pPr>
            <w:r>
              <w:rPr>
                <w:color w:val="auto"/>
                <w:highlight w:val="none"/>
              </w:rPr>
              <w:t>根据</w:t>
            </w:r>
            <w:r>
              <w:rPr>
                <w:bCs/>
                <w:color w:val="auto"/>
                <w:sz w:val="24"/>
                <w:highlight w:val="none"/>
              </w:rPr>
              <w:t>《排污单位自行监测技术指南 总则》（HJ819-2017）</w:t>
            </w:r>
            <w:r>
              <w:rPr>
                <w:color w:val="auto"/>
                <w:highlight w:val="none"/>
              </w:rPr>
              <w:t>，厂界噪声监测频次为一季度开展一次。</w:t>
            </w:r>
          </w:p>
          <w:p w14:paraId="67798987">
            <w:pPr>
              <w:pStyle w:val="52"/>
              <w:bidi w:val="0"/>
              <w:ind w:left="5518" w:leftChars="0" w:hanging="5518" w:firstLineChars="0"/>
              <w:rPr>
                <w:rFonts w:hint="default"/>
                <w:color w:val="auto"/>
              </w:rPr>
            </w:pPr>
            <w:r>
              <w:rPr>
                <w:rFonts w:hint="default"/>
                <w:color w:val="auto"/>
              </w:rPr>
              <w:t>噪声监测计划表</w:t>
            </w:r>
          </w:p>
          <w:tbl>
            <w:tblPr>
              <w:tblStyle w:val="3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84"/>
              <w:gridCol w:w="1298"/>
              <w:gridCol w:w="1995"/>
              <w:gridCol w:w="3641"/>
            </w:tblGrid>
            <w:tr w14:paraId="51A20B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 w:hRule="atLeast"/>
                <w:jc w:val="center"/>
              </w:trPr>
              <w:tc>
                <w:tcPr>
                  <w:tcW w:w="676" w:type="pct"/>
                  <w:vAlign w:val="center"/>
                </w:tcPr>
                <w:p w14:paraId="3379FFED">
                  <w:pPr>
                    <w:pStyle w:val="48"/>
                    <w:rPr>
                      <w:b/>
                      <w:bCs/>
                      <w:color w:val="auto"/>
                      <w:highlight w:val="none"/>
                    </w:rPr>
                  </w:pPr>
                  <w:r>
                    <w:rPr>
                      <w:b/>
                      <w:bCs/>
                      <w:color w:val="auto"/>
                      <w:highlight w:val="none"/>
                    </w:rPr>
                    <w:t>监测位置</w:t>
                  </w:r>
                </w:p>
              </w:tc>
              <w:tc>
                <w:tcPr>
                  <w:tcW w:w="809" w:type="pct"/>
                  <w:vAlign w:val="center"/>
                </w:tcPr>
                <w:p w14:paraId="11F21DBA">
                  <w:pPr>
                    <w:pStyle w:val="48"/>
                    <w:rPr>
                      <w:b/>
                      <w:bCs/>
                      <w:color w:val="auto"/>
                      <w:highlight w:val="none"/>
                    </w:rPr>
                  </w:pPr>
                  <w:r>
                    <w:rPr>
                      <w:b/>
                      <w:bCs/>
                      <w:color w:val="auto"/>
                      <w:highlight w:val="none"/>
                    </w:rPr>
                    <w:t>监测项目</w:t>
                  </w:r>
                </w:p>
              </w:tc>
              <w:tc>
                <w:tcPr>
                  <w:tcW w:w="1244" w:type="pct"/>
                  <w:vAlign w:val="center"/>
                </w:tcPr>
                <w:p w14:paraId="504934D6">
                  <w:pPr>
                    <w:pStyle w:val="48"/>
                    <w:rPr>
                      <w:b/>
                      <w:bCs/>
                      <w:color w:val="auto"/>
                      <w:highlight w:val="none"/>
                    </w:rPr>
                  </w:pPr>
                  <w:r>
                    <w:rPr>
                      <w:b/>
                      <w:bCs/>
                      <w:color w:val="auto"/>
                      <w:highlight w:val="none"/>
                    </w:rPr>
                    <w:t>监测频次</w:t>
                  </w:r>
                </w:p>
              </w:tc>
              <w:tc>
                <w:tcPr>
                  <w:tcW w:w="2270" w:type="pct"/>
                  <w:vAlign w:val="center"/>
                </w:tcPr>
                <w:p w14:paraId="3FA183C2">
                  <w:pPr>
                    <w:pStyle w:val="48"/>
                    <w:rPr>
                      <w:b/>
                      <w:bCs/>
                      <w:color w:val="auto"/>
                      <w:highlight w:val="none"/>
                    </w:rPr>
                  </w:pPr>
                  <w:r>
                    <w:rPr>
                      <w:b/>
                      <w:bCs/>
                      <w:color w:val="auto"/>
                      <w:highlight w:val="none"/>
                    </w:rPr>
                    <w:t>执行标准</w:t>
                  </w:r>
                </w:p>
              </w:tc>
            </w:tr>
            <w:tr w14:paraId="04961A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676" w:type="pct"/>
                  <w:vAlign w:val="center"/>
                </w:tcPr>
                <w:p w14:paraId="60D69EEB">
                  <w:pPr>
                    <w:pStyle w:val="48"/>
                    <w:rPr>
                      <w:color w:val="auto"/>
                      <w:highlight w:val="none"/>
                    </w:rPr>
                  </w:pPr>
                  <w:r>
                    <w:rPr>
                      <w:color w:val="auto"/>
                      <w:highlight w:val="none"/>
                    </w:rPr>
                    <w:t>厂界四周外1m</w:t>
                  </w:r>
                </w:p>
              </w:tc>
              <w:tc>
                <w:tcPr>
                  <w:tcW w:w="809" w:type="pct"/>
                  <w:vAlign w:val="center"/>
                </w:tcPr>
                <w:p w14:paraId="272991F4">
                  <w:pPr>
                    <w:pStyle w:val="48"/>
                    <w:rPr>
                      <w:color w:val="auto"/>
                      <w:highlight w:val="none"/>
                    </w:rPr>
                  </w:pPr>
                  <w:r>
                    <w:rPr>
                      <w:rFonts w:hint="eastAsia"/>
                      <w:color w:val="auto"/>
                      <w:highlight w:val="none"/>
                      <w:lang w:val="en-US" w:eastAsia="zh-CN"/>
                    </w:rPr>
                    <w:t>昼间连续</w:t>
                  </w:r>
                  <w:r>
                    <w:rPr>
                      <w:color w:val="auto"/>
                      <w:highlight w:val="none"/>
                    </w:rPr>
                    <w:t>等效A声级</w:t>
                  </w:r>
                </w:p>
              </w:tc>
              <w:tc>
                <w:tcPr>
                  <w:tcW w:w="1244" w:type="pct"/>
                  <w:vAlign w:val="center"/>
                </w:tcPr>
                <w:p w14:paraId="41CC2CDB">
                  <w:pPr>
                    <w:pStyle w:val="48"/>
                    <w:rPr>
                      <w:rFonts w:hint="default" w:eastAsia="宋体"/>
                      <w:color w:val="auto"/>
                      <w:highlight w:val="none"/>
                      <w:lang w:val="en-US" w:eastAsia="zh-CN"/>
                    </w:rPr>
                  </w:pPr>
                  <w:r>
                    <w:rPr>
                      <w:rFonts w:hint="eastAsia"/>
                      <w:color w:val="auto"/>
                      <w:highlight w:val="none"/>
                      <w:lang w:val="en-US" w:eastAsia="zh-CN"/>
                    </w:rPr>
                    <w:t>1</w:t>
                  </w:r>
                  <w:r>
                    <w:rPr>
                      <w:color w:val="auto"/>
                      <w:highlight w:val="none"/>
                    </w:rPr>
                    <w:t>季度</w:t>
                  </w:r>
                  <w:r>
                    <w:rPr>
                      <w:rFonts w:hint="eastAsia"/>
                      <w:color w:val="auto"/>
                      <w:highlight w:val="none"/>
                      <w:lang w:val="en-US" w:eastAsia="zh-CN"/>
                    </w:rPr>
                    <w:t>/次</w:t>
                  </w:r>
                </w:p>
              </w:tc>
              <w:tc>
                <w:tcPr>
                  <w:tcW w:w="2270" w:type="pct"/>
                  <w:vAlign w:val="center"/>
                </w:tcPr>
                <w:p w14:paraId="4D87C62F">
                  <w:pPr>
                    <w:pStyle w:val="48"/>
                    <w:rPr>
                      <w:color w:val="auto"/>
                      <w:highlight w:val="none"/>
                    </w:rPr>
                  </w:pPr>
                  <w:r>
                    <w:rPr>
                      <w:color w:val="auto"/>
                      <w:highlight w:val="none"/>
                    </w:rPr>
                    <w:t>《工业企业厂界环境噪声排放标准》（GB12348-2008）中的</w:t>
                  </w:r>
                  <w:r>
                    <w:rPr>
                      <w:rFonts w:hint="eastAsia"/>
                      <w:color w:val="auto"/>
                      <w:highlight w:val="none"/>
                      <w:lang w:val="en-US" w:eastAsia="zh-CN"/>
                    </w:rPr>
                    <w:t>3</w:t>
                  </w:r>
                  <w:r>
                    <w:rPr>
                      <w:color w:val="auto"/>
                      <w:highlight w:val="none"/>
                    </w:rPr>
                    <w:t>类标准</w:t>
                  </w:r>
                </w:p>
              </w:tc>
            </w:tr>
          </w:tbl>
          <w:p w14:paraId="322B6166">
            <w:pPr>
              <w:ind w:firstLine="0" w:firstLineChars="0"/>
              <w:rPr>
                <w:color w:val="auto"/>
                <w:highlight w:val="none"/>
              </w:rPr>
            </w:pPr>
          </w:p>
          <w:p w14:paraId="255BD26E">
            <w:pPr>
              <w:bidi w:val="0"/>
              <w:rPr>
                <w:rFonts w:hint="eastAsia"/>
                <w:color w:val="auto"/>
                <w:highlight w:val="none"/>
                <w:lang w:val="en-US" w:eastAsia="zh-CN"/>
              </w:rPr>
            </w:pPr>
          </w:p>
          <w:p w14:paraId="2EAC132A">
            <w:pPr>
              <w:bidi w:val="0"/>
              <w:rPr>
                <w:rFonts w:hint="eastAsia"/>
                <w:color w:val="auto"/>
                <w:highlight w:val="none"/>
                <w:lang w:val="en-US" w:eastAsia="zh-CN"/>
              </w:rPr>
            </w:pPr>
          </w:p>
          <w:p w14:paraId="50CB8C89">
            <w:pPr>
              <w:bidi w:val="0"/>
              <w:rPr>
                <w:rFonts w:hint="eastAsia"/>
                <w:color w:val="auto"/>
                <w:highlight w:val="none"/>
                <w:lang w:val="en-US" w:eastAsia="zh-CN"/>
              </w:rPr>
            </w:pPr>
          </w:p>
          <w:p w14:paraId="797870F4">
            <w:pPr>
              <w:bidi w:val="0"/>
              <w:rPr>
                <w:rFonts w:hint="eastAsia"/>
                <w:color w:val="auto"/>
                <w:highlight w:val="none"/>
                <w:lang w:val="en-US" w:eastAsia="zh-CN"/>
              </w:rPr>
            </w:pPr>
          </w:p>
          <w:p w14:paraId="3C7FCC1F">
            <w:pPr>
              <w:bidi w:val="0"/>
              <w:rPr>
                <w:rFonts w:hint="eastAsia"/>
                <w:color w:val="auto"/>
                <w:highlight w:val="none"/>
                <w:lang w:val="en-US" w:eastAsia="zh-CN"/>
              </w:rPr>
            </w:pPr>
          </w:p>
        </w:tc>
      </w:tr>
    </w:tbl>
    <w:p w14:paraId="7E0A58ED">
      <w:pPr>
        <w:bidi w:val="0"/>
        <w:ind w:left="0" w:leftChars="0" w:firstLine="0" w:firstLineChars="0"/>
        <w:rPr>
          <w:rStyle w:val="47"/>
          <w:rFonts w:hint="default" w:ascii="Times New Roman" w:hAnsi="Times New Roman" w:eastAsia="黑体"/>
          <w:color w:val="auto"/>
          <w:sz w:val="30"/>
          <w:szCs w:val="30"/>
          <w:highlight w:val="none"/>
        </w:rPr>
        <w:sectPr>
          <w:pgSz w:w="11907" w:h="16840"/>
          <w:pgMar w:top="1701" w:right="1531" w:bottom="2126" w:left="1531" w:header="851" w:footer="850" w:gutter="0"/>
          <w:pgBorders>
            <w:top w:val="none" w:sz="0" w:space="0"/>
            <w:left w:val="none" w:sz="0" w:space="0"/>
            <w:bottom w:val="none" w:sz="0" w:space="0"/>
            <w:right w:val="none" w:sz="0" w:space="0"/>
          </w:pgBorders>
          <w:pgNumType w:fmt="decimal"/>
          <w:cols w:space="0" w:num="1"/>
          <w:rtlGutter w:val="0"/>
          <w:docGrid w:linePitch="312" w:charSpace="0"/>
        </w:sectPr>
      </w:pPr>
      <w:bookmarkStart w:id="160" w:name="pindex2011"/>
      <w:bookmarkEnd w:id="160"/>
    </w:p>
    <w:tbl>
      <w:tblPr>
        <w:tblStyle w:val="33"/>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0"/>
        <w:gridCol w:w="8421"/>
      </w:tblGrid>
      <w:tr w14:paraId="6FFD0A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560" w:type="dxa"/>
            <w:tcMar>
              <w:left w:w="28" w:type="dxa"/>
              <w:right w:w="28" w:type="dxa"/>
            </w:tcMar>
            <w:vAlign w:val="center"/>
          </w:tcPr>
          <w:p w14:paraId="22AF5317">
            <w:pPr>
              <w:adjustRightInd w:val="0"/>
              <w:snapToGrid w:val="0"/>
              <w:spacing w:line="240" w:lineRule="auto"/>
              <w:ind w:firstLine="0" w:firstLineChars="0"/>
              <w:jc w:val="center"/>
              <w:rPr>
                <w:b/>
                <w:bCs/>
                <w:color w:val="auto"/>
                <w:kern w:val="0"/>
                <w:highlight w:val="none"/>
              </w:rPr>
            </w:pPr>
            <w:r>
              <w:rPr>
                <w:b/>
                <w:bCs/>
                <w:color w:val="auto"/>
                <w:kern w:val="0"/>
                <w:highlight w:val="none"/>
              </w:rPr>
              <w:t>运营期环境影响和保护措施</w:t>
            </w:r>
          </w:p>
        </w:tc>
        <w:tc>
          <w:tcPr>
            <w:tcW w:w="8421" w:type="dxa"/>
            <w:vAlign w:val="center"/>
          </w:tcPr>
          <w:p w14:paraId="05CB52AE">
            <w:pPr>
              <w:numPr>
                <w:ilvl w:val="0"/>
                <w:numId w:val="0"/>
              </w:numPr>
              <w:ind w:left="0" w:leftChars="0" w:firstLine="482" w:firstLineChars="200"/>
              <w:rPr>
                <w:b/>
                <w:bCs/>
                <w:color w:val="auto"/>
                <w:highlight w:val="none"/>
              </w:rPr>
            </w:pPr>
            <w:r>
              <w:rPr>
                <w:rFonts w:hint="eastAsia" w:cs="Times New Roman"/>
                <w:b/>
                <w:bCs/>
                <w:color w:val="auto"/>
                <w:kern w:val="2"/>
                <w:sz w:val="24"/>
                <w:szCs w:val="24"/>
                <w:lang w:val="en-US" w:eastAsia="zh-CN" w:bidi="ar-SA"/>
              </w:rPr>
              <w:t>4.</w:t>
            </w:r>
            <w:r>
              <w:rPr>
                <w:b/>
                <w:bCs/>
                <w:color w:val="auto"/>
                <w:highlight w:val="none"/>
              </w:rPr>
              <w:t>固体废物</w:t>
            </w:r>
          </w:p>
          <w:p w14:paraId="7B3519AD">
            <w:pPr>
              <w:ind w:firstLine="482"/>
              <w:rPr>
                <w:b/>
                <w:bCs/>
                <w:color w:val="auto"/>
                <w:highlight w:val="none"/>
              </w:rPr>
            </w:pPr>
            <w:r>
              <w:rPr>
                <w:b/>
                <w:bCs/>
                <w:color w:val="auto"/>
                <w:highlight w:val="none"/>
              </w:rPr>
              <w:t>（1）固体废物源强分析</w:t>
            </w:r>
          </w:p>
          <w:p w14:paraId="5CD9FF27">
            <w:pPr>
              <w:ind w:firstLine="480"/>
              <w:rPr>
                <w:rFonts w:hint="default"/>
                <w:color w:val="auto"/>
                <w:highlight w:val="none"/>
                <w:lang w:val="en-US" w:eastAsia="zh-CN"/>
              </w:rPr>
            </w:pPr>
            <w:r>
              <w:rPr>
                <w:color w:val="auto"/>
                <w:highlight w:val="none"/>
              </w:rPr>
              <w:t>本项目固体废弃物种类</w:t>
            </w:r>
            <w:r>
              <w:rPr>
                <w:rFonts w:hint="eastAsia"/>
                <w:color w:val="auto"/>
                <w:highlight w:val="none"/>
              </w:rPr>
              <w:t>主要为</w:t>
            </w:r>
            <w:r>
              <w:rPr>
                <w:rFonts w:hint="eastAsia"/>
                <w:color w:val="auto"/>
                <w:highlight w:val="none"/>
                <w:lang w:val="en-US" w:eastAsia="zh-CN"/>
              </w:rPr>
              <w:t>生活垃圾、</w:t>
            </w:r>
            <w:r>
              <w:rPr>
                <w:rFonts w:hint="eastAsia"/>
                <w:color w:val="auto"/>
                <w:highlight w:val="none"/>
              </w:rPr>
              <w:t>一般</w:t>
            </w:r>
            <w:r>
              <w:rPr>
                <w:rFonts w:hint="eastAsia"/>
                <w:color w:val="auto"/>
                <w:lang w:val="en-US" w:eastAsia="zh-CN"/>
              </w:rPr>
              <w:t>工业</w:t>
            </w:r>
            <w:r>
              <w:rPr>
                <w:rFonts w:hint="eastAsia"/>
                <w:color w:val="auto"/>
                <w:highlight w:val="none"/>
              </w:rPr>
              <w:t>固废</w:t>
            </w:r>
            <w:r>
              <w:rPr>
                <w:rFonts w:hint="eastAsia"/>
                <w:color w:val="auto"/>
                <w:highlight w:val="none"/>
                <w:lang w:eastAsia="zh-CN"/>
              </w:rPr>
              <w:t>、</w:t>
            </w:r>
            <w:r>
              <w:rPr>
                <w:rFonts w:hint="eastAsia"/>
                <w:color w:val="auto"/>
                <w:highlight w:val="none"/>
              </w:rPr>
              <w:t>危险废物</w:t>
            </w:r>
            <w:r>
              <w:rPr>
                <w:rFonts w:hint="eastAsia"/>
                <w:color w:val="auto"/>
                <w:highlight w:val="none"/>
                <w:lang w:eastAsia="zh-CN"/>
              </w:rPr>
              <w:t>。</w:t>
            </w:r>
            <w:r>
              <w:rPr>
                <w:rFonts w:hint="eastAsia"/>
                <w:color w:val="auto"/>
                <w:highlight w:val="none"/>
              </w:rPr>
              <w:t>生活垃圾</w:t>
            </w:r>
            <w:r>
              <w:rPr>
                <w:rFonts w:hint="eastAsia"/>
                <w:color w:val="auto"/>
                <w:highlight w:val="none"/>
                <w:lang w:val="en-US" w:eastAsia="zh-CN"/>
              </w:rPr>
              <w:t>由环卫统一清运；</w:t>
            </w:r>
            <w:r>
              <w:rPr>
                <w:rFonts w:hint="eastAsia"/>
                <w:color w:val="auto"/>
                <w:highlight w:val="none"/>
              </w:rPr>
              <w:t>一般</w:t>
            </w:r>
            <w:r>
              <w:rPr>
                <w:rFonts w:hint="eastAsia"/>
                <w:color w:val="auto"/>
                <w:highlight w:val="none"/>
                <w:lang w:val="en-US" w:eastAsia="zh-CN"/>
              </w:rPr>
              <w:t>工业</w:t>
            </w:r>
            <w:r>
              <w:rPr>
                <w:rFonts w:hint="eastAsia"/>
                <w:color w:val="auto"/>
                <w:highlight w:val="none"/>
              </w:rPr>
              <w:t>固废</w:t>
            </w:r>
            <w:r>
              <w:rPr>
                <w:rFonts w:hint="eastAsia"/>
                <w:color w:val="auto"/>
                <w:highlight w:val="none"/>
                <w:lang w:val="en-US" w:eastAsia="zh-CN"/>
              </w:rPr>
              <w:t>在一般固废仓库暂存，合规处置；</w:t>
            </w:r>
            <w:r>
              <w:rPr>
                <w:rFonts w:hint="eastAsia"/>
                <w:color w:val="auto"/>
                <w:highlight w:val="none"/>
              </w:rPr>
              <w:t>危险废物</w:t>
            </w:r>
            <w:r>
              <w:rPr>
                <w:rFonts w:hint="eastAsia"/>
                <w:color w:val="auto"/>
                <w:highlight w:val="none"/>
                <w:lang w:val="en-US" w:eastAsia="zh-CN"/>
              </w:rPr>
              <w:t>暂存在危废贮存点处，定期合规处置；报废灭火器瓶定期委托资质单位回收。</w:t>
            </w:r>
          </w:p>
          <w:p w14:paraId="77EB74DF">
            <w:pPr>
              <w:ind w:firstLine="480"/>
              <w:rPr>
                <w:rFonts w:hint="eastAsia"/>
                <w:b/>
                <w:bCs/>
                <w:color w:val="auto"/>
                <w:highlight w:val="none"/>
                <w:lang w:val="en-US" w:eastAsia="zh-CN"/>
              </w:rPr>
            </w:pPr>
            <w:r>
              <w:rPr>
                <w:rFonts w:hint="eastAsia"/>
                <w:b/>
                <w:bCs/>
                <w:color w:val="auto"/>
                <w:highlight w:val="none"/>
                <w:lang w:val="en-US" w:eastAsia="zh-CN"/>
              </w:rPr>
              <w:t>生活垃圾：</w:t>
            </w:r>
          </w:p>
          <w:p w14:paraId="5091BD0A">
            <w:pPr>
              <w:ind w:firstLine="480"/>
              <w:rPr>
                <w:rFonts w:hint="default"/>
                <w:b/>
                <w:bCs/>
                <w:color w:val="auto"/>
                <w:highlight w:val="none"/>
                <w:lang w:val="en-US" w:eastAsia="zh-CN"/>
              </w:rPr>
            </w:pPr>
            <w:r>
              <w:rPr>
                <w:rFonts w:hint="eastAsia"/>
                <w:color w:val="auto"/>
                <w:highlight w:val="none"/>
              </w:rPr>
              <w:t>本项目</w:t>
            </w:r>
            <w:r>
              <w:rPr>
                <w:rFonts w:hint="eastAsia"/>
                <w:color w:val="auto"/>
                <w:highlight w:val="none"/>
                <w:lang w:val="en-US" w:eastAsia="zh-CN"/>
              </w:rPr>
              <w:t>新增</w:t>
            </w:r>
            <w:r>
              <w:rPr>
                <w:rFonts w:hint="eastAsia"/>
                <w:color w:val="auto"/>
                <w:highlight w:val="none"/>
              </w:rPr>
              <w:t>员工人数为</w:t>
            </w:r>
            <w:r>
              <w:rPr>
                <w:rFonts w:hint="eastAsia"/>
                <w:color w:val="auto"/>
                <w:highlight w:val="none"/>
                <w:lang w:val="en-US" w:eastAsia="zh-CN"/>
              </w:rPr>
              <w:t>5</w:t>
            </w:r>
            <w:r>
              <w:rPr>
                <w:rFonts w:hint="eastAsia"/>
                <w:color w:val="auto"/>
                <w:highlight w:val="none"/>
              </w:rPr>
              <w:t>人，项目办公人均生活垃圾产生量按照每人每天0.5kg计算，年工作</w:t>
            </w:r>
            <w:r>
              <w:rPr>
                <w:rFonts w:hint="eastAsia"/>
                <w:color w:val="auto"/>
                <w:highlight w:val="none"/>
                <w:lang w:val="en-US" w:eastAsia="zh-CN"/>
              </w:rPr>
              <w:t>250</w:t>
            </w:r>
            <w:r>
              <w:rPr>
                <w:rFonts w:hint="eastAsia"/>
                <w:color w:val="auto"/>
                <w:highlight w:val="none"/>
              </w:rPr>
              <w:t>天，则产生量为</w:t>
            </w:r>
            <w:r>
              <w:rPr>
                <w:rFonts w:hint="eastAsia"/>
                <w:color w:val="auto"/>
                <w:highlight w:val="none"/>
                <w:lang w:val="en-US" w:eastAsia="zh-CN"/>
              </w:rPr>
              <w:t>0.625</w:t>
            </w:r>
            <w:r>
              <w:rPr>
                <w:rFonts w:hint="eastAsia"/>
                <w:color w:val="auto"/>
                <w:highlight w:val="none"/>
              </w:rPr>
              <w:t>t/a，由环卫部门统一</w:t>
            </w:r>
            <w:r>
              <w:rPr>
                <w:rFonts w:hint="eastAsia"/>
                <w:color w:val="auto"/>
                <w:highlight w:val="none"/>
                <w:lang w:val="en-US" w:eastAsia="zh-CN"/>
              </w:rPr>
              <w:t>清运</w:t>
            </w:r>
            <w:r>
              <w:rPr>
                <w:rFonts w:hint="eastAsia"/>
                <w:color w:val="auto"/>
                <w:highlight w:val="none"/>
              </w:rPr>
              <w:t>。</w:t>
            </w:r>
          </w:p>
          <w:p w14:paraId="2311F9D2">
            <w:pPr>
              <w:ind w:firstLine="480"/>
              <w:rPr>
                <w:rFonts w:hint="eastAsia" w:eastAsia="宋体"/>
                <w:b/>
                <w:bCs/>
                <w:color w:val="auto"/>
                <w:highlight w:val="none"/>
                <w:lang w:val="en-US" w:eastAsia="zh-CN"/>
              </w:rPr>
            </w:pPr>
            <w:r>
              <w:rPr>
                <w:rFonts w:hint="eastAsia"/>
                <w:b/>
                <w:bCs/>
                <w:color w:val="auto"/>
                <w:highlight w:val="none"/>
                <w:lang w:val="en-US" w:eastAsia="zh-CN"/>
              </w:rPr>
              <w:t>一般工业固体废物：</w:t>
            </w:r>
          </w:p>
          <w:p w14:paraId="5CCBFB41">
            <w:pPr>
              <w:numPr>
                <w:ilvl w:val="0"/>
                <w:numId w:val="20"/>
              </w:numPr>
              <w:ind w:firstLine="480" w:firstLineChars="200"/>
              <w:rPr>
                <w:rFonts w:hint="eastAsia"/>
                <w:color w:val="auto"/>
                <w:highlight w:val="none"/>
              </w:rPr>
            </w:pPr>
            <w:r>
              <w:rPr>
                <w:rFonts w:hint="eastAsia"/>
                <w:color w:val="auto"/>
                <w:highlight w:val="none"/>
              </w:rPr>
              <w:t>废</w:t>
            </w:r>
            <w:r>
              <w:rPr>
                <w:rFonts w:hint="eastAsia"/>
                <w:color w:val="auto"/>
                <w:highlight w:val="none"/>
                <w:lang w:val="en-US" w:eastAsia="zh-CN"/>
              </w:rPr>
              <w:t>包装材料</w:t>
            </w:r>
          </w:p>
          <w:p w14:paraId="5F6690CB">
            <w:pPr>
              <w:bidi w:val="0"/>
              <w:rPr>
                <w:rFonts w:hint="eastAsia"/>
                <w:color w:val="auto"/>
                <w:highlight w:val="none"/>
              </w:rPr>
            </w:pPr>
            <w:r>
              <w:rPr>
                <w:rFonts w:hint="eastAsia"/>
                <w:color w:val="auto"/>
                <w:highlight w:val="none"/>
                <w:lang w:val="en-US" w:eastAsia="zh-CN"/>
              </w:rPr>
              <w:t>本项目组装过程会产生废包装材料，产生量约0.05t/a。</w:t>
            </w:r>
          </w:p>
          <w:p w14:paraId="335FE952">
            <w:pPr>
              <w:numPr>
                <w:ilvl w:val="0"/>
                <w:numId w:val="20"/>
              </w:numPr>
              <w:ind w:firstLine="480" w:firstLineChars="200"/>
              <w:rPr>
                <w:rFonts w:hint="eastAsia" w:ascii="Times New Roman" w:hAnsi="Times New Roman" w:eastAsia="宋体" w:cs="Times New Roman"/>
                <w:color w:val="auto"/>
                <w:highlight w:val="none"/>
              </w:rPr>
            </w:pPr>
            <w:r>
              <w:rPr>
                <w:rFonts w:hint="eastAsia"/>
                <w:color w:val="auto"/>
                <w:highlight w:val="none"/>
                <w:lang w:val="en-US" w:eastAsia="zh-CN"/>
              </w:rPr>
              <w:t>废电池电芯</w:t>
            </w:r>
          </w:p>
          <w:p w14:paraId="5F237463">
            <w:pPr>
              <w:bidi w:val="0"/>
              <w:rPr>
                <w:rFonts w:hint="default" w:ascii="Times New Roman" w:hAnsi="Times New Roman" w:eastAsia="宋体" w:cs="Times New Roman"/>
                <w:color w:val="auto"/>
                <w:highlight w:val="none"/>
                <w:lang w:val="en-US"/>
              </w:rPr>
            </w:pPr>
            <w:r>
              <w:rPr>
                <w:rFonts w:hint="eastAsia"/>
                <w:color w:val="auto"/>
                <w:highlight w:val="none"/>
                <w:lang w:val="en-US" w:eastAsia="zh-CN"/>
              </w:rPr>
              <w:t>测试检验过程中产生的废电池电芯产生量约1.4t/a。</w:t>
            </w:r>
          </w:p>
          <w:p w14:paraId="388F48B7">
            <w:pPr>
              <w:bidi w:val="0"/>
              <w:rPr>
                <w:rFonts w:hint="default" w:ascii="Times New Roman" w:hAnsi="Times New Roman" w:cs="Times New Roman"/>
                <w:b/>
                <w:bCs/>
                <w:color w:val="auto"/>
                <w:highlight w:val="none"/>
                <w:lang w:val="en-US" w:eastAsia="zh-CN"/>
              </w:rPr>
            </w:pPr>
            <w:r>
              <w:rPr>
                <w:rFonts w:hint="eastAsia" w:cs="Times New Roman"/>
                <w:b/>
                <w:bCs/>
                <w:color w:val="auto"/>
                <w:highlight w:val="none"/>
                <w:lang w:val="en-US" w:eastAsia="zh-CN"/>
              </w:rPr>
              <w:t>危险废物：</w:t>
            </w:r>
          </w:p>
          <w:p w14:paraId="59EC040E">
            <w:pPr>
              <w:numPr>
                <w:ilvl w:val="0"/>
                <w:numId w:val="21"/>
              </w:numPr>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泡电池废液</w:t>
            </w:r>
          </w:p>
          <w:p w14:paraId="42D4C6CB">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color w:val="auto"/>
                <w:highlight w:val="none"/>
              </w:rPr>
            </w:pPr>
            <w:r>
              <w:rPr>
                <w:rFonts w:hint="eastAsia"/>
                <w:color w:val="auto"/>
                <w:highlight w:val="none"/>
                <w:lang w:val="en-US" w:eastAsia="zh-CN"/>
              </w:rPr>
              <w:t>车间设置水桶暂存电池，会产生泡电池废液，根据前文计算，泡电池废液产生量为2.16t/a</w:t>
            </w:r>
            <w:r>
              <w:rPr>
                <w:rFonts w:hint="eastAsia"/>
                <w:color w:val="auto"/>
                <w:highlight w:val="none"/>
                <w:lang w:eastAsia="zh-CN"/>
              </w:rPr>
              <w:t>。</w:t>
            </w:r>
          </w:p>
          <w:p w14:paraId="3FC5A249">
            <w:pPr>
              <w:numPr>
                <w:ilvl w:val="0"/>
                <w:numId w:val="21"/>
              </w:numPr>
              <w:ind w:firstLine="480" w:firstLineChars="200"/>
              <w:rPr>
                <w:rFonts w:hint="eastAsia" w:ascii="Times New Roman" w:hAnsi="Times New Roman" w:eastAsia="宋体" w:cs="Times New Roman"/>
                <w:color w:val="auto"/>
                <w:highlight w:val="none"/>
                <w:lang w:eastAsia="zh-CN"/>
              </w:rPr>
            </w:pPr>
            <w:r>
              <w:rPr>
                <w:rFonts w:hint="eastAsia"/>
                <w:color w:val="auto"/>
                <w:highlight w:val="none"/>
                <w:lang w:val="en-US" w:eastAsia="zh-CN"/>
              </w:rPr>
              <w:t>消防废液</w:t>
            </w:r>
          </w:p>
          <w:p w14:paraId="456E461F">
            <w:pPr>
              <w:bidi w:val="0"/>
              <w:rPr>
                <w:rFonts w:hint="eastAsia"/>
                <w:color w:val="auto"/>
                <w:highlight w:val="none"/>
                <w:lang w:eastAsia="zh-CN"/>
              </w:rPr>
            </w:pPr>
            <w:r>
              <w:rPr>
                <w:rFonts w:hint="eastAsia"/>
                <w:color w:val="auto"/>
                <w:lang w:val="en-US" w:eastAsia="zh-CN"/>
              </w:rPr>
              <w:t>本项目灭火会产生消防废液，根据企业提供资料，灭火器规格为3L/瓶，年用量为2瓶，</w:t>
            </w:r>
            <w:sdt>
              <w:sdtPr>
                <w:rPr>
                  <w:color w:val="auto"/>
                </w:rPr>
                <w:alias w:val="语法错误"/>
                <w:tag w:val="reviewtag_FF0000"/>
                <w:id w:val="42030"/>
              </w:sdtPr>
              <w:sdtEndPr>
                <w:rPr>
                  <w:color w:val="auto"/>
                </w:rPr>
              </w:sdtEndPr>
              <w:sdtContent>
                <w:bookmarkStart w:id="161" w:name="bkReivew42030"/>
                <w:r>
                  <w:rPr>
                    <w:rFonts w:hint="eastAsia"/>
                    <w:color w:val="auto"/>
                    <w:lang w:val="en-US" w:eastAsia="zh-CN"/>
                  </w:rPr>
                  <w:t>约</w:t>
                </w:r>
                <w:bookmarkEnd w:id="161"/>
              </w:sdtContent>
            </w:sdt>
            <w:r>
              <w:rPr>
                <w:rFonts w:hint="eastAsia"/>
                <w:color w:val="auto"/>
                <w:lang w:val="en-US" w:eastAsia="zh-CN"/>
              </w:rPr>
              <w:t>产生6L/a（约0.006t/a）消防废液</w:t>
            </w:r>
            <w:r>
              <w:rPr>
                <w:rFonts w:hint="eastAsia"/>
                <w:color w:val="auto"/>
                <w:lang w:eastAsia="zh-CN"/>
              </w:rPr>
              <w:t>。</w:t>
            </w:r>
          </w:p>
          <w:p w14:paraId="1B8BD2A2">
            <w:pPr>
              <w:numPr>
                <w:ilvl w:val="0"/>
                <w:numId w:val="21"/>
              </w:numPr>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报废灭火器瓶</w:t>
            </w:r>
          </w:p>
          <w:p w14:paraId="068ADDEF">
            <w:pPr>
              <w:bidi w:val="0"/>
              <w:rPr>
                <w:rFonts w:hint="eastAsia" w:eastAsia="宋体"/>
                <w:color w:val="auto"/>
                <w:highlight w:val="none"/>
                <w:lang w:val="en-US" w:eastAsia="zh-CN"/>
              </w:rPr>
            </w:pPr>
            <w:r>
              <w:rPr>
                <w:rFonts w:hint="eastAsia"/>
                <w:color w:val="auto"/>
                <w:lang w:val="en-US" w:eastAsia="zh-CN"/>
              </w:rPr>
              <w:t>本项目灭火会产生报废灭火器瓶，产生量约0.005t/a</w:t>
            </w:r>
            <w:r>
              <w:rPr>
                <w:rFonts w:hint="eastAsia"/>
                <w:color w:val="auto"/>
                <w:lang w:eastAsia="zh-CN"/>
              </w:rPr>
              <w:t>。</w:t>
            </w:r>
          </w:p>
          <w:p w14:paraId="289ABCD9">
            <w:pPr>
              <w:bidi w:val="0"/>
              <w:rPr>
                <w:b/>
                <w:bCs/>
                <w:color w:val="auto"/>
                <w:highlight w:val="none"/>
              </w:rPr>
            </w:pPr>
            <w:r>
              <w:rPr>
                <w:b/>
                <w:bCs/>
                <w:color w:val="auto"/>
                <w:highlight w:val="none"/>
              </w:rPr>
              <w:t>（2）固体废物鉴别</w:t>
            </w:r>
          </w:p>
          <w:p w14:paraId="36575872">
            <w:pPr>
              <w:bidi w:val="0"/>
              <w:rPr>
                <w:color w:val="auto"/>
                <w:highlight w:val="none"/>
              </w:rPr>
            </w:pPr>
            <w:r>
              <w:rPr>
                <w:color w:val="auto"/>
                <w:highlight w:val="none"/>
              </w:rPr>
              <w:t>根据《中华人民共和国固体废物污染环境防治法》（2016年11月7日修正）、《固体废物鉴别标准</w:t>
            </w:r>
            <w:r>
              <w:rPr>
                <w:rFonts w:hint="eastAsia"/>
                <w:color w:val="auto"/>
                <w:highlight w:val="none"/>
              </w:rPr>
              <w:t xml:space="preserve"> </w:t>
            </w:r>
            <w:r>
              <w:rPr>
                <w:color w:val="auto"/>
                <w:highlight w:val="none"/>
              </w:rPr>
              <w:t xml:space="preserve"> 通则》（</w:t>
            </w:r>
            <w:r>
              <w:rPr>
                <w:rFonts w:hint="eastAsia"/>
                <w:color w:val="auto"/>
                <w:highlight w:val="none"/>
                <w:lang w:eastAsia="zh-CN"/>
              </w:rPr>
              <w:t>GB 34330-2025</w:t>
            </w:r>
            <w:r>
              <w:rPr>
                <w:color w:val="auto"/>
                <w:highlight w:val="none"/>
              </w:rPr>
              <w:t>）的规定以及按照《建设项目危险废物环境影响评价指南》（环境保护部公告2017年第43号）中相关编制要求，本项目固体废物鉴别情况见表4</w:t>
            </w:r>
            <w:r>
              <w:rPr>
                <w:rFonts w:hint="eastAsia"/>
                <w:color w:val="auto"/>
                <w:highlight w:val="none"/>
              </w:rPr>
              <w:t>-</w:t>
            </w:r>
            <w:r>
              <w:rPr>
                <w:rFonts w:hint="eastAsia"/>
                <w:color w:val="auto"/>
                <w:highlight w:val="none"/>
                <w:lang w:val="en-US" w:eastAsia="zh-CN"/>
              </w:rPr>
              <w:t>12</w:t>
            </w:r>
            <w:r>
              <w:rPr>
                <w:color w:val="auto"/>
                <w:highlight w:val="none"/>
              </w:rPr>
              <w:t>。</w:t>
            </w:r>
          </w:p>
          <w:p w14:paraId="0E15D1C3">
            <w:pPr>
              <w:pStyle w:val="52"/>
              <w:bidi w:val="0"/>
              <w:ind w:left="5518" w:leftChars="0" w:hanging="5518" w:firstLineChars="0"/>
              <w:rPr>
                <w:rFonts w:hint="default"/>
                <w:color w:val="auto"/>
              </w:rPr>
            </w:pPr>
            <w:r>
              <w:rPr>
                <w:rFonts w:hint="eastAsia"/>
                <w:color w:val="auto"/>
                <w:lang w:val="en-US" w:eastAsia="zh-CN"/>
              </w:rPr>
              <w:t>本项目</w:t>
            </w:r>
            <w:r>
              <w:rPr>
                <w:rFonts w:hint="default"/>
                <w:color w:val="auto"/>
              </w:rPr>
              <w:t>固废鉴别情况汇总表（t/a）</w:t>
            </w:r>
          </w:p>
          <w:tbl>
            <w:tblPr>
              <w:tblStyle w:val="33"/>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88"/>
              <w:gridCol w:w="1206"/>
              <w:gridCol w:w="1230"/>
              <w:gridCol w:w="615"/>
              <w:gridCol w:w="1213"/>
              <w:gridCol w:w="799"/>
              <w:gridCol w:w="851"/>
              <w:gridCol w:w="1060"/>
              <w:gridCol w:w="736"/>
            </w:tblGrid>
            <w:tr w14:paraId="3A3983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2" w:hRule="atLeast"/>
                <w:jc w:val="center"/>
              </w:trPr>
              <w:tc>
                <w:tcPr>
                  <w:tcW w:w="297" w:type="pct"/>
                  <w:vMerge w:val="restart"/>
                  <w:vAlign w:val="center"/>
                </w:tcPr>
                <w:p w14:paraId="68E7C678">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序号</w:t>
                  </w:r>
                </w:p>
              </w:tc>
              <w:tc>
                <w:tcPr>
                  <w:tcW w:w="735" w:type="pct"/>
                  <w:vMerge w:val="restart"/>
                  <w:vAlign w:val="center"/>
                </w:tcPr>
                <w:p w14:paraId="275AFDE8">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固体废物名称</w:t>
                  </w:r>
                </w:p>
              </w:tc>
              <w:tc>
                <w:tcPr>
                  <w:tcW w:w="750" w:type="pct"/>
                  <w:vMerge w:val="restart"/>
                  <w:vAlign w:val="center"/>
                </w:tcPr>
                <w:p w14:paraId="2F557D5A">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产生工序</w:t>
                  </w:r>
                </w:p>
              </w:tc>
              <w:tc>
                <w:tcPr>
                  <w:tcW w:w="375" w:type="pct"/>
                  <w:vMerge w:val="restart"/>
                  <w:vAlign w:val="center"/>
                </w:tcPr>
                <w:p w14:paraId="52DBC619">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形态</w:t>
                  </w:r>
                </w:p>
              </w:tc>
              <w:tc>
                <w:tcPr>
                  <w:tcW w:w="739" w:type="pct"/>
                  <w:vMerge w:val="restart"/>
                  <w:vAlign w:val="center"/>
                </w:tcPr>
                <w:p w14:paraId="571AB873">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主要成分</w:t>
                  </w:r>
                </w:p>
              </w:tc>
              <w:tc>
                <w:tcPr>
                  <w:tcW w:w="487" w:type="pct"/>
                  <w:vMerge w:val="restart"/>
                  <w:vAlign w:val="center"/>
                </w:tcPr>
                <w:p w14:paraId="117BDA88">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产生周期</w:t>
                  </w:r>
                </w:p>
              </w:tc>
              <w:tc>
                <w:tcPr>
                  <w:tcW w:w="519" w:type="pct"/>
                  <w:vMerge w:val="restart"/>
                  <w:vAlign w:val="center"/>
                </w:tcPr>
                <w:p w14:paraId="41EBE6AB">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预测产生量</w:t>
                  </w:r>
                </w:p>
              </w:tc>
              <w:tc>
                <w:tcPr>
                  <w:tcW w:w="1095" w:type="pct"/>
                  <w:gridSpan w:val="2"/>
                  <w:vAlign w:val="center"/>
                </w:tcPr>
                <w:p w14:paraId="5DF1C361">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种类判断</w:t>
                  </w:r>
                </w:p>
              </w:tc>
            </w:tr>
            <w:tr w14:paraId="41896E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7" w:hRule="atLeast"/>
                <w:jc w:val="center"/>
              </w:trPr>
              <w:tc>
                <w:tcPr>
                  <w:tcW w:w="297" w:type="pct"/>
                  <w:vMerge w:val="continue"/>
                  <w:vAlign w:val="center"/>
                </w:tcPr>
                <w:p w14:paraId="37B2FBC8">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735" w:type="pct"/>
                  <w:vMerge w:val="continue"/>
                  <w:vAlign w:val="center"/>
                </w:tcPr>
                <w:p w14:paraId="2C52FCE1">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750" w:type="pct"/>
                  <w:vMerge w:val="continue"/>
                  <w:vAlign w:val="center"/>
                </w:tcPr>
                <w:p w14:paraId="56701C23">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375" w:type="pct"/>
                  <w:vMerge w:val="continue"/>
                  <w:vAlign w:val="center"/>
                </w:tcPr>
                <w:p w14:paraId="583913F8">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739" w:type="pct"/>
                  <w:vMerge w:val="continue"/>
                  <w:vAlign w:val="center"/>
                </w:tcPr>
                <w:p w14:paraId="25D02EE5">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487" w:type="pct"/>
                  <w:vMerge w:val="continue"/>
                  <w:vAlign w:val="center"/>
                </w:tcPr>
                <w:p w14:paraId="7FF8C8E7">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519" w:type="pct"/>
                  <w:vMerge w:val="continue"/>
                  <w:vAlign w:val="center"/>
                </w:tcPr>
                <w:p w14:paraId="60A573BF">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p>
              </w:tc>
              <w:tc>
                <w:tcPr>
                  <w:tcW w:w="646" w:type="pct"/>
                  <w:vAlign w:val="center"/>
                </w:tcPr>
                <w:p w14:paraId="045B7C44">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是否属于固体废物</w:t>
                  </w:r>
                </w:p>
              </w:tc>
              <w:tc>
                <w:tcPr>
                  <w:tcW w:w="448" w:type="pct"/>
                  <w:vAlign w:val="center"/>
                </w:tcPr>
                <w:p w14:paraId="0E0DEC9D">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b/>
                      <w:bCs/>
                      <w:color w:val="auto"/>
                      <w:sz w:val="21"/>
                      <w:szCs w:val="21"/>
                      <w:highlight w:val="none"/>
                    </w:rPr>
                  </w:pPr>
                  <w:r>
                    <w:rPr>
                      <w:b/>
                      <w:bCs/>
                      <w:color w:val="auto"/>
                      <w:sz w:val="21"/>
                      <w:szCs w:val="21"/>
                      <w:highlight w:val="none"/>
                    </w:rPr>
                    <w:t>判定依据</w:t>
                  </w:r>
                </w:p>
              </w:tc>
            </w:tr>
            <w:tr w14:paraId="3578A1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7" w:type="pct"/>
                  <w:vAlign w:val="center"/>
                </w:tcPr>
                <w:p w14:paraId="435469CF">
                  <w:pPr>
                    <w:pStyle w:val="48"/>
                    <w:keepNext w:val="0"/>
                    <w:keepLines w:val="0"/>
                    <w:pageBreakBefore w:val="0"/>
                    <w:widowControl w:val="0"/>
                    <w:numPr>
                      <w:ilvl w:val="0"/>
                      <w:numId w:val="22"/>
                    </w:numPr>
                    <w:tabs>
                      <w:tab w:val="left" w:pos="397"/>
                    </w:tabs>
                    <w:kinsoku/>
                    <w:wordWrap/>
                    <w:overflowPunct/>
                    <w:topLinePunct w:val="0"/>
                    <w:autoSpaceDE/>
                    <w:autoSpaceDN/>
                    <w:bidi w:val="0"/>
                    <w:adjustRightInd w:val="0"/>
                    <w:snapToGrid w:val="0"/>
                    <w:spacing w:line="240" w:lineRule="exact"/>
                    <w:ind w:left="425" w:leftChars="0" w:hanging="425" w:firstLineChars="0"/>
                    <w:textAlignment w:val="auto"/>
                    <w:rPr>
                      <w:rFonts w:ascii="Times New Roman" w:hAnsi="Times New Roman" w:eastAsia="宋体" w:cs="Times New Roman"/>
                      <w:color w:val="auto"/>
                      <w:sz w:val="21"/>
                      <w:szCs w:val="21"/>
                      <w:highlight w:val="none"/>
                    </w:rPr>
                  </w:pPr>
                </w:p>
              </w:tc>
              <w:tc>
                <w:tcPr>
                  <w:tcW w:w="735" w:type="pct"/>
                  <w:shd w:val="clear" w:color="auto" w:fill="auto"/>
                  <w:vAlign w:val="center"/>
                </w:tcPr>
                <w:p w14:paraId="2A82D965">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olor w:val="auto"/>
                      <w:sz w:val="21"/>
                      <w:szCs w:val="21"/>
                      <w:highlight w:val="none"/>
                    </w:rPr>
                  </w:pPr>
                  <w:r>
                    <w:rPr>
                      <w:rFonts w:hint="eastAsia"/>
                      <w:color w:val="auto"/>
                      <w:sz w:val="21"/>
                      <w:szCs w:val="21"/>
                      <w:highlight w:val="none"/>
                      <w:lang w:val="en-US" w:eastAsia="zh-CN"/>
                    </w:rPr>
                    <w:t>生活垃圾</w:t>
                  </w:r>
                </w:p>
              </w:tc>
              <w:tc>
                <w:tcPr>
                  <w:tcW w:w="750" w:type="pct"/>
                  <w:shd w:val="clear" w:color="auto" w:fill="auto"/>
                  <w:vAlign w:val="center"/>
                </w:tcPr>
                <w:p w14:paraId="74A5D820">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办公生活</w:t>
                  </w:r>
                </w:p>
              </w:tc>
              <w:tc>
                <w:tcPr>
                  <w:tcW w:w="375" w:type="pct"/>
                  <w:shd w:val="clear" w:color="auto" w:fill="auto"/>
                  <w:vAlign w:val="center"/>
                </w:tcPr>
                <w:p w14:paraId="252F71F6">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固</w:t>
                  </w:r>
                </w:p>
              </w:tc>
              <w:tc>
                <w:tcPr>
                  <w:tcW w:w="739" w:type="pct"/>
                  <w:shd w:val="clear" w:color="auto" w:fill="auto"/>
                  <w:vAlign w:val="center"/>
                </w:tcPr>
                <w:p w14:paraId="7F1CFF4C">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纸、塑料</w:t>
                  </w:r>
                </w:p>
              </w:tc>
              <w:tc>
                <w:tcPr>
                  <w:tcW w:w="487" w:type="pct"/>
                  <w:shd w:val="clear" w:color="auto" w:fill="auto"/>
                  <w:vAlign w:val="center"/>
                </w:tcPr>
                <w:p w14:paraId="0F53A0B1">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每天</w:t>
                  </w:r>
                </w:p>
              </w:tc>
              <w:tc>
                <w:tcPr>
                  <w:tcW w:w="519" w:type="pct"/>
                  <w:shd w:val="clear" w:color="auto" w:fill="auto"/>
                  <w:vAlign w:val="center"/>
                </w:tcPr>
                <w:p w14:paraId="53FADB6B">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0.625</w:t>
                  </w:r>
                </w:p>
              </w:tc>
              <w:tc>
                <w:tcPr>
                  <w:tcW w:w="646" w:type="pct"/>
                  <w:shd w:val="clear" w:color="auto" w:fill="auto"/>
                  <w:vAlign w:val="center"/>
                </w:tcPr>
                <w:p w14:paraId="6690D4BC">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color w:val="auto"/>
                      <w:sz w:val="21"/>
                      <w:szCs w:val="21"/>
                      <w:highlight w:val="none"/>
                    </w:rPr>
                  </w:pPr>
                  <w:r>
                    <w:rPr>
                      <w:color w:val="auto"/>
                      <w:sz w:val="21"/>
                      <w:szCs w:val="21"/>
                      <w:highlight w:val="none"/>
                    </w:rPr>
                    <w:t>√</w:t>
                  </w:r>
                </w:p>
              </w:tc>
              <w:tc>
                <w:tcPr>
                  <w:tcW w:w="448" w:type="pct"/>
                  <w:vMerge w:val="restart"/>
                  <w:vAlign w:val="center"/>
                </w:tcPr>
                <w:p w14:paraId="3C1FAD91">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rFonts w:hint="eastAsia" w:eastAsia="宋体"/>
                      <w:color w:val="auto"/>
                      <w:sz w:val="21"/>
                      <w:szCs w:val="21"/>
                      <w:highlight w:val="none"/>
                      <w:lang w:eastAsia="zh-CN"/>
                    </w:rPr>
                  </w:pPr>
                  <w:r>
                    <w:rPr>
                      <w:color w:val="auto"/>
                      <w:sz w:val="21"/>
                      <w:szCs w:val="21"/>
                      <w:highlight w:val="none"/>
                    </w:rPr>
                    <w:t>《固体废物鉴别标准</w:t>
                  </w:r>
                  <w:r>
                    <w:rPr>
                      <w:rFonts w:hint="eastAsia"/>
                      <w:color w:val="auto"/>
                      <w:sz w:val="21"/>
                      <w:szCs w:val="21"/>
                      <w:highlight w:val="none"/>
                      <w:lang w:val="en-US" w:eastAsia="zh-CN"/>
                    </w:rPr>
                    <w:t xml:space="preserve">  </w:t>
                  </w:r>
                  <w:r>
                    <w:rPr>
                      <w:color w:val="auto"/>
                      <w:sz w:val="21"/>
                      <w:szCs w:val="21"/>
                      <w:highlight w:val="none"/>
                    </w:rPr>
                    <w:t>通则》</w:t>
                  </w:r>
                  <w:r>
                    <w:rPr>
                      <w:rFonts w:hint="eastAsia"/>
                      <w:color w:val="auto"/>
                      <w:sz w:val="21"/>
                      <w:szCs w:val="21"/>
                      <w:highlight w:val="none"/>
                      <w:lang w:eastAsia="zh-CN"/>
                    </w:rPr>
                    <w:t>（GB 34330-2025）</w:t>
                  </w:r>
                </w:p>
              </w:tc>
            </w:tr>
            <w:tr w14:paraId="4B1453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7" w:type="pct"/>
                  <w:vAlign w:val="center"/>
                </w:tcPr>
                <w:p w14:paraId="183FCB7B">
                  <w:pPr>
                    <w:pStyle w:val="48"/>
                    <w:keepNext w:val="0"/>
                    <w:keepLines w:val="0"/>
                    <w:pageBreakBefore w:val="0"/>
                    <w:widowControl w:val="0"/>
                    <w:numPr>
                      <w:ilvl w:val="0"/>
                      <w:numId w:val="22"/>
                    </w:numPr>
                    <w:tabs>
                      <w:tab w:val="left" w:pos="397"/>
                    </w:tabs>
                    <w:kinsoku/>
                    <w:wordWrap/>
                    <w:overflowPunct/>
                    <w:topLinePunct w:val="0"/>
                    <w:autoSpaceDE/>
                    <w:autoSpaceDN/>
                    <w:bidi w:val="0"/>
                    <w:adjustRightInd w:val="0"/>
                    <w:snapToGrid w:val="0"/>
                    <w:spacing w:line="240" w:lineRule="exact"/>
                    <w:ind w:left="425" w:leftChars="0" w:hanging="425" w:firstLineChars="0"/>
                    <w:textAlignment w:val="auto"/>
                    <w:rPr>
                      <w:rFonts w:ascii="Times New Roman" w:hAnsi="Times New Roman" w:eastAsia="宋体" w:cs="Times New Roman"/>
                      <w:color w:val="auto"/>
                      <w:sz w:val="21"/>
                      <w:szCs w:val="21"/>
                      <w:highlight w:val="none"/>
                    </w:rPr>
                  </w:pPr>
                </w:p>
              </w:tc>
              <w:tc>
                <w:tcPr>
                  <w:tcW w:w="735" w:type="pct"/>
                  <w:shd w:val="clear" w:color="auto" w:fill="auto"/>
                  <w:vAlign w:val="center"/>
                </w:tcPr>
                <w:p w14:paraId="58B03C7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highlight w:val="none"/>
                      <w:lang w:val="en-US" w:eastAsia="zh-CN"/>
                    </w:rPr>
                    <w:t>废包装材料</w:t>
                  </w:r>
                </w:p>
              </w:tc>
              <w:tc>
                <w:tcPr>
                  <w:tcW w:w="750" w:type="pct"/>
                  <w:shd w:val="clear" w:color="auto" w:fill="auto"/>
                  <w:vAlign w:val="center"/>
                </w:tcPr>
                <w:p w14:paraId="7A200AEA">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highlight w:val="none"/>
                      <w:lang w:val="en-US" w:eastAsia="zh-CN"/>
                    </w:rPr>
                    <w:t>组装</w:t>
                  </w:r>
                </w:p>
              </w:tc>
              <w:tc>
                <w:tcPr>
                  <w:tcW w:w="375" w:type="pct"/>
                  <w:shd w:val="clear" w:color="auto" w:fill="auto"/>
                  <w:vAlign w:val="center"/>
                </w:tcPr>
                <w:p w14:paraId="5D506E50">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固</w:t>
                  </w:r>
                </w:p>
              </w:tc>
              <w:tc>
                <w:tcPr>
                  <w:tcW w:w="739" w:type="pct"/>
                  <w:shd w:val="clear" w:color="auto" w:fill="auto"/>
                  <w:vAlign w:val="center"/>
                </w:tcPr>
                <w:p w14:paraId="68E6E6B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b w:val="0"/>
                      <w:bCs w:val="0"/>
                      <w:color w:val="auto"/>
                      <w:sz w:val="21"/>
                      <w:szCs w:val="21"/>
                      <w:vertAlign w:val="baseline"/>
                      <w:lang w:val="en-US" w:eastAsia="zh-CN"/>
                    </w:rPr>
                    <w:t>线材、纸</w:t>
                  </w:r>
                </w:p>
              </w:tc>
              <w:tc>
                <w:tcPr>
                  <w:tcW w:w="487" w:type="pct"/>
                  <w:shd w:val="clear" w:color="auto" w:fill="auto"/>
                  <w:vAlign w:val="center"/>
                </w:tcPr>
                <w:p w14:paraId="73A001D2">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每天</w:t>
                  </w:r>
                </w:p>
              </w:tc>
              <w:tc>
                <w:tcPr>
                  <w:tcW w:w="519" w:type="pct"/>
                  <w:shd w:val="clear" w:color="auto" w:fill="auto"/>
                  <w:vAlign w:val="center"/>
                </w:tcPr>
                <w:p w14:paraId="4561935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0.05</w:t>
                  </w:r>
                </w:p>
              </w:tc>
              <w:tc>
                <w:tcPr>
                  <w:tcW w:w="646" w:type="pct"/>
                  <w:shd w:val="clear" w:color="auto" w:fill="auto"/>
                  <w:vAlign w:val="center"/>
                </w:tcPr>
                <w:p w14:paraId="6E6C5D6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color w:val="auto"/>
                      <w:sz w:val="21"/>
                      <w:szCs w:val="21"/>
                      <w:highlight w:val="none"/>
                    </w:rPr>
                  </w:pPr>
                  <w:r>
                    <w:rPr>
                      <w:color w:val="auto"/>
                      <w:sz w:val="21"/>
                      <w:szCs w:val="21"/>
                      <w:highlight w:val="none"/>
                    </w:rPr>
                    <w:t>√</w:t>
                  </w:r>
                </w:p>
              </w:tc>
              <w:tc>
                <w:tcPr>
                  <w:tcW w:w="448" w:type="pct"/>
                  <w:vMerge w:val="continue"/>
                  <w:vAlign w:val="center"/>
                </w:tcPr>
                <w:p w14:paraId="7F91FD31">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color w:val="auto"/>
                      <w:sz w:val="21"/>
                      <w:szCs w:val="21"/>
                      <w:highlight w:val="none"/>
                    </w:rPr>
                  </w:pPr>
                </w:p>
              </w:tc>
            </w:tr>
            <w:tr w14:paraId="4CA5A4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7" w:type="pct"/>
                  <w:vAlign w:val="center"/>
                </w:tcPr>
                <w:p w14:paraId="1A5719B9">
                  <w:pPr>
                    <w:pStyle w:val="48"/>
                    <w:keepNext w:val="0"/>
                    <w:keepLines w:val="0"/>
                    <w:pageBreakBefore w:val="0"/>
                    <w:widowControl w:val="0"/>
                    <w:numPr>
                      <w:ilvl w:val="0"/>
                      <w:numId w:val="22"/>
                    </w:numPr>
                    <w:tabs>
                      <w:tab w:val="left" w:pos="397"/>
                    </w:tabs>
                    <w:kinsoku/>
                    <w:wordWrap/>
                    <w:overflowPunct/>
                    <w:topLinePunct w:val="0"/>
                    <w:autoSpaceDE/>
                    <w:autoSpaceDN/>
                    <w:bidi w:val="0"/>
                    <w:adjustRightInd w:val="0"/>
                    <w:snapToGrid w:val="0"/>
                    <w:spacing w:line="240" w:lineRule="exact"/>
                    <w:ind w:left="425" w:leftChars="0" w:hanging="425" w:firstLineChars="0"/>
                    <w:textAlignment w:val="auto"/>
                    <w:rPr>
                      <w:rFonts w:ascii="Times New Roman" w:hAnsi="Times New Roman" w:eastAsia="宋体" w:cs="Times New Roman"/>
                      <w:color w:val="auto"/>
                      <w:sz w:val="21"/>
                      <w:szCs w:val="21"/>
                      <w:highlight w:val="none"/>
                    </w:rPr>
                  </w:pPr>
                </w:p>
              </w:tc>
              <w:tc>
                <w:tcPr>
                  <w:tcW w:w="735" w:type="pct"/>
                  <w:shd w:val="clear" w:color="auto" w:fill="auto"/>
                  <w:vAlign w:val="center"/>
                </w:tcPr>
                <w:p w14:paraId="2B53550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highlight w:val="none"/>
                      <w:lang w:val="en-US" w:eastAsia="zh-CN"/>
                    </w:rPr>
                    <w:t>废电池电芯</w:t>
                  </w:r>
                </w:p>
              </w:tc>
              <w:tc>
                <w:tcPr>
                  <w:tcW w:w="750" w:type="pct"/>
                  <w:shd w:val="clear" w:color="auto" w:fill="auto"/>
                  <w:vAlign w:val="center"/>
                </w:tcPr>
                <w:p w14:paraId="1068719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highlight w:val="none"/>
                      <w:lang w:val="en-US" w:eastAsia="zh-CN"/>
                    </w:rPr>
                    <w:t>测试检验</w:t>
                  </w:r>
                </w:p>
              </w:tc>
              <w:tc>
                <w:tcPr>
                  <w:tcW w:w="375" w:type="pct"/>
                  <w:shd w:val="clear" w:color="auto" w:fill="auto"/>
                  <w:vAlign w:val="center"/>
                </w:tcPr>
                <w:p w14:paraId="5970B0DA">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rPr>
                    <w:t>固</w:t>
                  </w:r>
                </w:p>
              </w:tc>
              <w:tc>
                <w:tcPr>
                  <w:tcW w:w="739" w:type="pct"/>
                  <w:shd w:val="clear" w:color="auto" w:fill="auto"/>
                  <w:vAlign w:val="center"/>
                </w:tcPr>
                <w:p w14:paraId="7C6A6AB9">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b w:val="0"/>
                      <w:bCs w:val="0"/>
                      <w:color w:val="auto"/>
                      <w:sz w:val="21"/>
                      <w:szCs w:val="21"/>
                      <w:highlight w:val="none"/>
                      <w:u w:val="none"/>
                      <w:vertAlign w:val="baseline"/>
                      <w:lang w:val="en-US" w:eastAsia="zh-CN"/>
                    </w:rPr>
                    <w:t>电池、电芯</w:t>
                  </w:r>
                </w:p>
              </w:tc>
              <w:tc>
                <w:tcPr>
                  <w:tcW w:w="487" w:type="pct"/>
                  <w:shd w:val="clear" w:color="auto" w:fill="auto"/>
                  <w:vAlign w:val="center"/>
                </w:tcPr>
                <w:p w14:paraId="34FEE9C0">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每天</w:t>
                  </w:r>
                </w:p>
              </w:tc>
              <w:tc>
                <w:tcPr>
                  <w:tcW w:w="519" w:type="pct"/>
                  <w:shd w:val="clear" w:color="auto" w:fill="auto"/>
                  <w:vAlign w:val="center"/>
                </w:tcPr>
                <w:p w14:paraId="554560C7">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1.4</w:t>
                  </w:r>
                </w:p>
              </w:tc>
              <w:tc>
                <w:tcPr>
                  <w:tcW w:w="646" w:type="pct"/>
                  <w:shd w:val="clear" w:color="auto" w:fill="auto"/>
                  <w:vAlign w:val="center"/>
                </w:tcPr>
                <w:p w14:paraId="6B1E71E7">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color w:val="auto"/>
                      <w:sz w:val="21"/>
                      <w:szCs w:val="21"/>
                      <w:highlight w:val="none"/>
                    </w:rPr>
                  </w:pPr>
                  <w:r>
                    <w:rPr>
                      <w:color w:val="auto"/>
                      <w:sz w:val="21"/>
                      <w:szCs w:val="21"/>
                      <w:highlight w:val="none"/>
                    </w:rPr>
                    <w:t>√</w:t>
                  </w:r>
                </w:p>
              </w:tc>
              <w:tc>
                <w:tcPr>
                  <w:tcW w:w="448" w:type="pct"/>
                  <w:vMerge w:val="continue"/>
                  <w:vAlign w:val="center"/>
                </w:tcPr>
                <w:p w14:paraId="1DBE685B">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color w:val="auto"/>
                      <w:sz w:val="21"/>
                      <w:szCs w:val="21"/>
                      <w:highlight w:val="none"/>
                    </w:rPr>
                  </w:pPr>
                </w:p>
              </w:tc>
            </w:tr>
            <w:tr w14:paraId="75EF97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7" w:type="pct"/>
                  <w:vAlign w:val="center"/>
                </w:tcPr>
                <w:p w14:paraId="20E34696">
                  <w:pPr>
                    <w:pStyle w:val="48"/>
                    <w:keepNext w:val="0"/>
                    <w:keepLines w:val="0"/>
                    <w:pageBreakBefore w:val="0"/>
                    <w:widowControl w:val="0"/>
                    <w:numPr>
                      <w:ilvl w:val="0"/>
                      <w:numId w:val="22"/>
                    </w:numPr>
                    <w:tabs>
                      <w:tab w:val="left" w:pos="397"/>
                    </w:tabs>
                    <w:kinsoku/>
                    <w:wordWrap/>
                    <w:overflowPunct/>
                    <w:topLinePunct w:val="0"/>
                    <w:autoSpaceDE/>
                    <w:autoSpaceDN/>
                    <w:bidi w:val="0"/>
                    <w:adjustRightInd w:val="0"/>
                    <w:snapToGrid w:val="0"/>
                    <w:spacing w:line="240" w:lineRule="exact"/>
                    <w:ind w:left="425" w:leftChars="0" w:hanging="425" w:firstLineChars="0"/>
                    <w:textAlignment w:val="auto"/>
                    <w:rPr>
                      <w:rFonts w:ascii="Times New Roman" w:hAnsi="Times New Roman" w:eastAsia="宋体" w:cs="Times New Roman"/>
                      <w:color w:val="auto"/>
                      <w:sz w:val="21"/>
                      <w:szCs w:val="21"/>
                      <w:highlight w:val="none"/>
                    </w:rPr>
                  </w:pPr>
                </w:p>
              </w:tc>
              <w:tc>
                <w:tcPr>
                  <w:tcW w:w="735" w:type="pct"/>
                  <w:shd w:val="clear" w:color="auto" w:fill="auto"/>
                  <w:vAlign w:val="center"/>
                </w:tcPr>
                <w:p w14:paraId="723E9953">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olor w:val="auto"/>
                      <w:sz w:val="21"/>
                      <w:szCs w:val="21"/>
                      <w:highlight w:val="none"/>
                      <w:lang w:val="en-US" w:eastAsia="zh-CN"/>
                    </w:rPr>
                  </w:pPr>
                  <w:r>
                    <w:rPr>
                      <w:rFonts w:hint="eastAsia" w:ascii="Times New Roman" w:hAnsi="Times New Roman" w:eastAsia="宋体" w:cs="Times New Roman"/>
                      <w:color w:val="auto"/>
                      <w:highlight w:val="none"/>
                      <w:lang w:val="en-US" w:eastAsia="zh-CN"/>
                    </w:rPr>
                    <w:t>泡电池废液</w:t>
                  </w:r>
                </w:p>
              </w:tc>
              <w:tc>
                <w:tcPr>
                  <w:tcW w:w="750" w:type="pct"/>
                  <w:shd w:val="clear" w:color="auto" w:fill="auto"/>
                  <w:vAlign w:val="center"/>
                </w:tcPr>
                <w:p w14:paraId="6E72333D">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s="Times New Roman"/>
                      <w:color w:val="auto"/>
                      <w:kern w:val="0"/>
                      <w:sz w:val="21"/>
                      <w:szCs w:val="21"/>
                      <w:highlight w:val="none"/>
                      <w:lang w:val="en-US" w:eastAsia="zh-CN" w:bidi="ar-SA"/>
                    </w:rPr>
                  </w:pPr>
                  <w:r>
                    <w:rPr>
                      <w:rFonts w:hint="eastAsia"/>
                      <w:color w:val="auto"/>
                      <w:highlight w:val="none"/>
                      <w:lang w:val="en-US" w:eastAsia="zh-CN"/>
                    </w:rPr>
                    <w:t>测试检验</w:t>
                  </w:r>
                </w:p>
              </w:tc>
              <w:tc>
                <w:tcPr>
                  <w:tcW w:w="375" w:type="pct"/>
                  <w:shd w:val="clear" w:color="auto" w:fill="auto"/>
                  <w:vAlign w:val="center"/>
                </w:tcPr>
                <w:p w14:paraId="5609B2B3">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液</w:t>
                  </w:r>
                </w:p>
              </w:tc>
              <w:tc>
                <w:tcPr>
                  <w:tcW w:w="739" w:type="pct"/>
                  <w:shd w:val="clear" w:color="auto" w:fill="auto"/>
                  <w:vAlign w:val="center"/>
                </w:tcPr>
                <w:p w14:paraId="2EDF8D9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cs="Times New Roman"/>
                      <w:color w:val="auto"/>
                      <w:kern w:val="0"/>
                      <w:sz w:val="21"/>
                      <w:szCs w:val="21"/>
                      <w:highlight w:val="yellow"/>
                      <w:lang w:val="en-US" w:eastAsia="zh-CN" w:bidi="ar-SA"/>
                    </w:rPr>
                  </w:pPr>
                  <w:r>
                    <w:rPr>
                      <w:rFonts w:hint="eastAsia" w:ascii="Times New Roman" w:hAnsi="Times New Roman" w:cs="Times New Roman"/>
                      <w:b w:val="0"/>
                      <w:bCs w:val="0"/>
                      <w:color w:val="auto"/>
                      <w:sz w:val="21"/>
                      <w:szCs w:val="21"/>
                      <w:highlight w:val="none"/>
                      <w:u w:val="none"/>
                      <w:lang w:val="en-US" w:eastAsia="zh-CN"/>
                    </w:rPr>
                    <w:t>电池废液</w:t>
                  </w:r>
                </w:p>
              </w:tc>
              <w:tc>
                <w:tcPr>
                  <w:tcW w:w="487" w:type="pct"/>
                  <w:shd w:val="clear" w:color="auto" w:fill="auto"/>
                  <w:vAlign w:val="center"/>
                </w:tcPr>
                <w:p w14:paraId="2442D0D6">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olor w:val="auto"/>
                      <w:sz w:val="21"/>
                      <w:szCs w:val="21"/>
                      <w:highlight w:val="none"/>
                    </w:rPr>
                  </w:pPr>
                  <w:r>
                    <w:rPr>
                      <w:rFonts w:hint="eastAsia" w:ascii="Times New Roman" w:hAnsi="Times New Roman" w:eastAsia="宋体" w:cs="Times New Roman"/>
                      <w:color w:val="auto"/>
                      <w:sz w:val="21"/>
                      <w:szCs w:val="21"/>
                      <w:highlight w:val="none"/>
                      <w:lang w:val="en-US" w:eastAsia="zh-CN"/>
                    </w:rPr>
                    <w:t>每天</w:t>
                  </w:r>
                </w:p>
              </w:tc>
              <w:tc>
                <w:tcPr>
                  <w:tcW w:w="519" w:type="pct"/>
                  <w:shd w:val="clear" w:color="auto" w:fill="auto"/>
                  <w:vAlign w:val="center"/>
                </w:tcPr>
                <w:p w14:paraId="14CC9CAE">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2.16</w:t>
                  </w:r>
                </w:p>
              </w:tc>
              <w:tc>
                <w:tcPr>
                  <w:tcW w:w="646" w:type="pct"/>
                  <w:shd w:val="clear" w:color="auto" w:fill="auto"/>
                  <w:vAlign w:val="center"/>
                </w:tcPr>
                <w:p w14:paraId="1DE74626">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color w:val="auto"/>
                      <w:sz w:val="21"/>
                      <w:szCs w:val="21"/>
                      <w:highlight w:val="none"/>
                    </w:rPr>
                  </w:pPr>
                  <w:r>
                    <w:rPr>
                      <w:color w:val="auto"/>
                      <w:sz w:val="21"/>
                      <w:szCs w:val="21"/>
                      <w:highlight w:val="none"/>
                    </w:rPr>
                    <w:t>√</w:t>
                  </w:r>
                </w:p>
              </w:tc>
              <w:tc>
                <w:tcPr>
                  <w:tcW w:w="448" w:type="pct"/>
                  <w:vMerge w:val="continue"/>
                  <w:vAlign w:val="center"/>
                </w:tcPr>
                <w:p w14:paraId="1165537D">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color w:val="auto"/>
                      <w:sz w:val="21"/>
                      <w:szCs w:val="21"/>
                      <w:highlight w:val="none"/>
                    </w:rPr>
                  </w:pPr>
                </w:p>
              </w:tc>
            </w:tr>
            <w:tr w14:paraId="5C94B5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7" w:type="pct"/>
                  <w:vAlign w:val="center"/>
                </w:tcPr>
                <w:p w14:paraId="56ECBB93">
                  <w:pPr>
                    <w:pStyle w:val="48"/>
                    <w:keepNext w:val="0"/>
                    <w:keepLines w:val="0"/>
                    <w:pageBreakBefore w:val="0"/>
                    <w:widowControl w:val="0"/>
                    <w:numPr>
                      <w:ilvl w:val="0"/>
                      <w:numId w:val="22"/>
                    </w:numPr>
                    <w:tabs>
                      <w:tab w:val="left" w:pos="397"/>
                    </w:tabs>
                    <w:kinsoku/>
                    <w:wordWrap/>
                    <w:overflowPunct/>
                    <w:topLinePunct w:val="0"/>
                    <w:autoSpaceDE/>
                    <w:autoSpaceDN/>
                    <w:bidi w:val="0"/>
                    <w:adjustRightInd w:val="0"/>
                    <w:snapToGrid w:val="0"/>
                    <w:spacing w:line="240" w:lineRule="exact"/>
                    <w:ind w:left="425" w:leftChars="0" w:hanging="425" w:firstLineChars="0"/>
                    <w:textAlignment w:val="auto"/>
                    <w:rPr>
                      <w:rFonts w:ascii="Times New Roman" w:hAnsi="Times New Roman" w:eastAsia="宋体" w:cs="Times New Roman"/>
                      <w:color w:val="auto"/>
                      <w:sz w:val="21"/>
                      <w:szCs w:val="21"/>
                      <w:highlight w:val="none"/>
                    </w:rPr>
                  </w:pPr>
                </w:p>
              </w:tc>
              <w:tc>
                <w:tcPr>
                  <w:tcW w:w="735" w:type="pct"/>
                  <w:shd w:val="clear" w:color="auto" w:fill="auto"/>
                  <w:vAlign w:val="center"/>
                </w:tcPr>
                <w:p w14:paraId="2B59DE42">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olor w:val="auto"/>
                      <w:sz w:val="21"/>
                      <w:szCs w:val="21"/>
                      <w:highlight w:val="none"/>
                      <w:lang w:val="en-US" w:eastAsia="zh-CN"/>
                    </w:rPr>
                  </w:pPr>
                  <w:r>
                    <w:rPr>
                      <w:rFonts w:hint="eastAsia"/>
                      <w:color w:val="auto"/>
                      <w:highlight w:val="none"/>
                      <w:lang w:val="en-US" w:eastAsia="zh-CN"/>
                    </w:rPr>
                    <w:t>消防废液</w:t>
                  </w:r>
                </w:p>
              </w:tc>
              <w:tc>
                <w:tcPr>
                  <w:tcW w:w="750" w:type="pct"/>
                  <w:shd w:val="clear" w:color="auto" w:fill="auto"/>
                  <w:vAlign w:val="center"/>
                </w:tcPr>
                <w:p w14:paraId="1567A563">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color w:val="auto"/>
                      <w:sz w:val="21"/>
                      <w:szCs w:val="21"/>
                      <w:highlight w:val="none"/>
                      <w:lang w:val="en-US" w:eastAsia="zh-CN"/>
                    </w:rPr>
                  </w:pPr>
                  <w:r>
                    <w:rPr>
                      <w:rFonts w:hint="eastAsia"/>
                      <w:color w:val="auto"/>
                      <w:highlight w:val="none"/>
                      <w:lang w:val="en-US" w:eastAsia="zh-CN"/>
                    </w:rPr>
                    <w:t>测试检验</w:t>
                  </w:r>
                </w:p>
              </w:tc>
              <w:tc>
                <w:tcPr>
                  <w:tcW w:w="375" w:type="pct"/>
                  <w:shd w:val="clear" w:color="auto" w:fill="auto"/>
                  <w:vAlign w:val="center"/>
                </w:tcPr>
                <w:p w14:paraId="2317ED32">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液</w:t>
                  </w:r>
                </w:p>
              </w:tc>
              <w:tc>
                <w:tcPr>
                  <w:tcW w:w="739" w:type="pct"/>
                  <w:shd w:val="clear" w:color="auto" w:fill="auto"/>
                  <w:vAlign w:val="center"/>
                </w:tcPr>
                <w:p w14:paraId="0D00C70F">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color w:val="auto"/>
                      <w:sz w:val="21"/>
                      <w:szCs w:val="21"/>
                      <w:highlight w:val="none"/>
                      <w:lang w:val="en-US" w:eastAsia="zh-CN"/>
                    </w:rPr>
                  </w:pPr>
                  <w:r>
                    <w:rPr>
                      <w:rFonts w:hint="eastAsia" w:ascii="Times New Roman" w:hAnsi="Times New Roman" w:cs="Times New Roman"/>
                      <w:b w:val="0"/>
                      <w:bCs w:val="0"/>
                      <w:color w:val="auto"/>
                      <w:sz w:val="21"/>
                      <w:szCs w:val="21"/>
                      <w:highlight w:val="none"/>
                      <w:u w:val="none"/>
                      <w:lang w:val="en-US" w:eastAsia="zh-CN"/>
                    </w:rPr>
                    <w:t>消防废液</w:t>
                  </w:r>
                </w:p>
              </w:tc>
              <w:tc>
                <w:tcPr>
                  <w:tcW w:w="487" w:type="pct"/>
                  <w:shd w:val="clear" w:color="auto" w:fill="auto"/>
                  <w:vAlign w:val="center"/>
                </w:tcPr>
                <w:p w14:paraId="182F25DA">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每天</w:t>
                  </w:r>
                </w:p>
              </w:tc>
              <w:tc>
                <w:tcPr>
                  <w:tcW w:w="519" w:type="pct"/>
                  <w:shd w:val="clear" w:color="auto" w:fill="auto"/>
                  <w:vAlign w:val="center"/>
                </w:tcPr>
                <w:p w14:paraId="5C9BF42C">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0.006</w:t>
                  </w:r>
                </w:p>
              </w:tc>
              <w:tc>
                <w:tcPr>
                  <w:tcW w:w="646" w:type="pct"/>
                  <w:shd w:val="clear" w:color="auto" w:fill="auto"/>
                  <w:vAlign w:val="center"/>
                </w:tcPr>
                <w:p w14:paraId="5549F2A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color w:val="auto"/>
                      <w:sz w:val="21"/>
                      <w:szCs w:val="21"/>
                      <w:highlight w:val="none"/>
                    </w:rPr>
                  </w:pPr>
                  <w:r>
                    <w:rPr>
                      <w:color w:val="auto"/>
                      <w:sz w:val="21"/>
                      <w:szCs w:val="21"/>
                      <w:highlight w:val="none"/>
                    </w:rPr>
                    <w:t>√</w:t>
                  </w:r>
                </w:p>
              </w:tc>
              <w:tc>
                <w:tcPr>
                  <w:tcW w:w="448" w:type="pct"/>
                  <w:vMerge w:val="continue"/>
                  <w:vAlign w:val="center"/>
                </w:tcPr>
                <w:p w14:paraId="392528E0">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color w:val="auto"/>
                      <w:sz w:val="21"/>
                      <w:szCs w:val="21"/>
                      <w:highlight w:val="none"/>
                    </w:rPr>
                  </w:pPr>
                </w:p>
              </w:tc>
            </w:tr>
            <w:tr w14:paraId="336144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97" w:type="pct"/>
                  <w:vAlign w:val="center"/>
                </w:tcPr>
                <w:p w14:paraId="7C1F8653">
                  <w:pPr>
                    <w:pStyle w:val="48"/>
                    <w:keepNext w:val="0"/>
                    <w:keepLines w:val="0"/>
                    <w:pageBreakBefore w:val="0"/>
                    <w:widowControl w:val="0"/>
                    <w:numPr>
                      <w:ilvl w:val="0"/>
                      <w:numId w:val="22"/>
                    </w:numPr>
                    <w:tabs>
                      <w:tab w:val="left" w:pos="397"/>
                    </w:tabs>
                    <w:kinsoku/>
                    <w:wordWrap/>
                    <w:overflowPunct/>
                    <w:topLinePunct w:val="0"/>
                    <w:autoSpaceDE/>
                    <w:autoSpaceDN/>
                    <w:bidi w:val="0"/>
                    <w:adjustRightInd w:val="0"/>
                    <w:snapToGrid w:val="0"/>
                    <w:spacing w:line="240" w:lineRule="exact"/>
                    <w:ind w:left="425" w:leftChars="0" w:hanging="425" w:firstLineChars="0"/>
                    <w:textAlignment w:val="auto"/>
                    <w:rPr>
                      <w:rFonts w:ascii="Times New Roman" w:hAnsi="Times New Roman" w:eastAsia="宋体" w:cs="Times New Roman"/>
                      <w:color w:val="auto"/>
                      <w:sz w:val="21"/>
                      <w:szCs w:val="21"/>
                      <w:highlight w:val="none"/>
                    </w:rPr>
                  </w:pPr>
                </w:p>
              </w:tc>
              <w:tc>
                <w:tcPr>
                  <w:tcW w:w="735" w:type="pct"/>
                  <w:shd w:val="clear" w:color="auto" w:fill="auto"/>
                  <w:vAlign w:val="center"/>
                </w:tcPr>
                <w:p w14:paraId="0A3453E9">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报废灭火器瓶</w:t>
                  </w:r>
                </w:p>
              </w:tc>
              <w:tc>
                <w:tcPr>
                  <w:tcW w:w="750" w:type="pct"/>
                  <w:shd w:val="clear" w:color="auto" w:fill="auto"/>
                  <w:vAlign w:val="center"/>
                </w:tcPr>
                <w:p w14:paraId="3DE58F25">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olor w:val="auto"/>
                      <w:sz w:val="21"/>
                      <w:szCs w:val="21"/>
                      <w:highlight w:val="none"/>
                      <w:lang w:val="en-US" w:eastAsia="zh-CN"/>
                    </w:rPr>
                  </w:pPr>
                  <w:r>
                    <w:rPr>
                      <w:rFonts w:hint="eastAsia"/>
                      <w:color w:val="auto"/>
                      <w:highlight w:val="none"/>
                      <w:lang w:val="en-US" w:eastAsia="zh-CN"/>
                    </w:rPr>
                    <w:t>测试检验</w:t>
                  </w:r>
                </w:p>
              </w:tc>
              <w:tc>
                <w:tcPr>
                  <w:tcW w:w="375" w:type="pct"/>
                  <w:shd w:val="clear" w:color="auto" w:fill="auto"/>
                  <w:vAlign w:val="center"/>
                </w:tcPr>
                <w:p w14:paraId="1C872DDF">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固</w:t>
                  </w:r>
                </w:p>
              </w:tc>
              <w:tc>
                <w:tcPr>
                  <w:tcW w:w="739" w:type="pct"/>
                  <w:shd w:val="clear" w:color="auto" w:fill="auto"/>
                  <w:vAlign w:val="center"/>
                </w:tcPr>
                <w:p w14:paraId="2AB918D3">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color w:val="auto"/>
                      <w:sz w:val="21"/>
                      <w:szCs w:val="21"/>
                      <w:highlight w:val="none"/>
                      <w:lang w:val="en-US" w:eastAsia="zh-CN"/>
                    </w:rPr>
                  </w:pPr>
                  <w:r>
                    <w:rPr>
                      <w:rFonts w:hint="eastAsia"/>
                      <w:color w:val="auto"/>
                      <w:sz w:val="21"/>
                      <w:szCs w:val="21"/>
                      <w:highlight w:val="none"/>
                      <w:lang w:val="en-US" w:eastAsia="zh-CN"/>
                    </w:rPr>
                    <w:t>灭火器瓶</w:t>
                  </w:r>
                </w:p>
              </w:tc>
              <w:tc>
                <w:tcPr>
                  <w:tcW w:w="487" w:type="pct"/>
                  <w:shd w:val="clear" w:color="auto" w:fill="auto"/>
                  <w:vAlign w:val="center"/>
                </w:tcPr>
                <w:p w14:paraId="588DC59E">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每天</w:t>
                  </w:r>
                </w:p>
              </w:tc>
              <w:tc>
                <w:tcPr>
                  <w:tcW w:w="519" w:type="pct"/>
                  <w:shd w:val="clear" w:color="auto" w:fill="auto"/>
                  <w:vAlign w:val="center"/>
                </w:tcPr>
                <w:p w14:paraId="37FD48D0">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0.005</w:t>
                  </w:r>
                </w:p>
              </w:tc>
              <w:tc>
                <w:tcPr>
                  <w:tcW w:w="646" w:type="pct"/>
                  <w:shd w:val="clear" w:color="auto" w:fill="auto"/>
                  <w:vAlign w:val="center"/>
                </w:tcPr>
                <w:p w14:paraId="23119507">
                  <w:pPr>
                    <w:pStyle w:val="48"/>
                    <w:keepNext w:val="0"/>
                    <w:keepLines w:val="0"/>
                    <w:pageBreakBefore w:val="0"/>
                    <w:widowControl w:val="0"/>
                    <w:kinsoku/>
                    <w:wordWrap/>
                    <w:overflowPunct/>
                    <w:topLinePunct w:val="0"/>
                    <w:autoSpaceDE/>
                    <w:autoSpaceDN/>
                    <w:bidi w:val="0"/>
                    <w:adjustRightInd w:val="0"/>
                    <w:snapToGrid w:val="0"/>
                    <w:spacing w:line="240" w:lineRule="exact"/>
                    <w:ind w:left="0" w:firstLine="0" w:firstLineChars="0"/>
                    <w:textAlignment w:val="auto"/>
                    <w:rPr>
                      <w:color w:val="auto"/>
                      <w:sz w:val="21"/>
                      <w:szCs w:val="21"/>
                      <w:highlight w:val="none"/>
                    </w:rPr>
                  </w:pPr>
                  <w:r>
                    <w:rPr>
                      <w:color w:val="auto"/>
                      <w:sz w:val="21"/>
                      <w:szCs w:val="21"/>
                      <w:highlight w:val="none"/>
                    </w:rPr>
                    <w:t>√</w:t>
                  </w:r>
                </w:p>
              </w:tc>
              <w:tc>
                <w:tcPr>
                  <w:tcW w:w="448" w:type="pct"/>
                  <w:vMerge w:val="continue"/>
                  <w:vAlign w:val="center"/>
                </w:tcPr>
                <w:p w14:paraId="38351F53">
                  <w:pPr>
                    <w:pStyle w:val="48"/>
                    <w:keepNext w:val="0"/>
                    <w:keepLines w:val="0"/>
                    <w:pageBreakBefore w:val="0"/>
                    <w:widowControl w:val="0"/>
                    <w:kinsoku/>
                    <w:wordWrap/>
                    <w:overflowPunct/>
                    <w:topLinePunct w:val="0"/>
                    <w:autoSpaceDE/>
                    <w:autoSpaceDN/>
                    <w:bidi w:val="0"/>
                    <w:adjustRightInd w:val="0"/>
                    <w:snapToGrid w:val="0"/>
                    <w:spacing w:line="240" w:lineRule="exact"/>
                    <w:ind w:left="0"/>
                    <w:textAlignment w:val="auto"/>
                    <w:rPr>
                      <w:color w:val="auto"/>
                      <w:sz w:val="21"/>
                      <w:szCs w:val="21"/>
                      <w:highlight w:val="none"/>
                    </w:rPr>
                  </w:pPr>
                </w:p>
              </w:tc>
            </w:tr>
          </w:tbl>
          <w:p w14:paraId="5B4AB429">
            <w:pPr>
              <w:bidi w:val="0"/>
              <w:rPr>
                <w:b/>
                <w:bCs/>
                <w:color w:val="auto"/>
                <w:highlight w:val="none"/>
              </w:rPr>
            </w:pPr>
            <w:r>
              <w:rPr>
                <w:b/>
                <w:bCs/>
                <w:color w:val="auto"/>
                <w:highlight w:val="none"/>
              </w:rPr>
              <w:t>（3）固体废物属性判定及危险废物汇总</w:t>
            </w:r>
          </w:p>
          <w:p w14:paraId="0A0D2B81">
            <w:pPr>
              <w:bidi w:val="0"/>
              <w:rPr>
                <w:color w:val="auto"/>
                <w:highlight w:val="none"/>
              </w:rPr>
            </w:pPr>
            <w:r>
              <w:rPr>
                <w:color w:val="auto"/>
                <w:highlight w:val="none"/>
              </w:rPr>
              <w:t>本项目产生的固体废物属性判定情况见</w:t>
            </w:r>
            <w:r>
              <w:rPr>
                <w:rFonts w:hint="eastAsia"/>
                <w:color w:val="auto"/>
                <w:highlight w:val="none"/>
                <w:lang w:val="en-US" w:eastAsia="zh-CN"/>
              </w:rPr>
              <w:t>下</w:t>
            </w:r>
            <w:r>
              <w:rPr>
                <w:color w:val="auto"/>
                <w:highlight w:val="none"/>
              </w:rPr>
              <w:t>表。</w:t>
            </w:r>
          </w:p>
          <w:p w14:paraId="6512A39D">
            <w:pPr>
              <w:ind w:firstLine="480"/>
              <w:rPr>
                <w:color w:val="auto"/>
                <w:highlight w:val="none"/>
              </w:rPr>
            </w:pPr>
          </w:p>
          <w:p w14:paraId="4645749A">
            <w:pPr>
              <w:ind w:firstLine="480"/>
              <w:rPr>
                <w:color w:val="auto"/>
                <w:highlight w:val="none"/>
              </w:rPr>
            </w:pPr>
          </w:p>
          <w:p w14:paraId="186DCA01">
            <w:pPr>
              <w:ind w:firstLine="480"/>
              <w:rPr>
                <w:color w:val="auto"/>
                <w:highlight w:val="none"/>
              </w:rPr>
            </w:pPr>
          </w:p>
          <w:p w14:paraId="422BF77B">
            <w:pPr>
              <w:ind w:firstLine="480"/>
              <w:rPr>
                <w:color w:val="auto"/>
                <w:highlight w:val="none"/>
              </w:rPr>
            </w:pPr>
          </w:p>
          <w:p w14:paraId="64B08E0B">
            <w:pPr>
              <w:ind w:firstLine="480"/>
              <w:rPr>
                <w:color w:val="auto"/>
                <w:highlight w:val="none"/>
              </w:rPr>
            </w:pPr>
          </w:p>
          <w:p w14:paraId="701576D8">
            <w:pPr>
              <w:ind w:firstLine="480"/>
              <w:rPr>
                <w:color w:val="auto"/>
                <w:highlight w:val="none"/>
              </w:rPr>
            </w:pPr>
          </w:p>
          <w:p w14:paraId="1D1D06E2">
            <w:pPr>
              <w:ind w:firstLine="480"/>
              <w:rPr>
                <w:color w:val="auto"/>
                <w:highlight w:val="none"/>
              </w:rPr>
            </w:pPr>
          </w:p>
          <w:p w14:paraId="4D970190">
            <w:pPr>
              <w:ind w:firstLine="480"/>
              <w:rPr>
                <w:color w:val="auto"/>
                <w:highlight w:val="none"/>
              </w:rPr>
            </w:pPr>
          </w:p>
          <w:p w14:paraId="7BBD85B5">
            <w:pPr>
              <w:ind w:firstLine="480"/>
              <w:rPr>
                <w:color w:val="auto"/>
                <w:highlight w:val="none"/>
              </w:rPr>
            </w:pPr>
          </w:p>
          <w:p w14:paraId="008F1246">
            <w:pPr>
              <w:ind w:firstLine="480"/>
              <w:rPr>
                <w:color w:val="auto"/>
                <w:highlight w:val="none"/>
              </w:rPr>
            </w:pPr>
          </w:p>
        </w:tc>
      </w:tr>
    </w:tbl>
    <w:p w14:paraId="476AF2E4">
      <w:pPr>
        <w:bidi w:val="0"/>
        <w:ind w:left="0" w:leftChars="0" w:firstLine="0" w:firstLineChars="0"/>
        <w:rPr>
          <w:rStyle w:val="47"/>
          <w:rFonts w:hint="default" w:ascii="Times New Roman" w:hAnsi="Times New Roman" w:eastAsia="黑体"/>
          <w:color w:val="auto"/>
          <w:sz w:val="30"/>
          <w:szCs w:val="30"/>
          <w:highlight w:val="none"/>
        </w:rPr>
        <w:sectPr>
          <w:pgSz w:w="11907" w:h="16840"/>
          <w:pgMar w:top="1701" w:right="1531" w:bottom="2126" w:left="1531" w:header="851" w:footer="850" w:gutter="0"/>
          <w:pgBorders>
            <w:top w:val="none" w:sz="0" w:space="0"/>
            <w:left w:val="none" w:sz="0" w:space="0"/>
            <w:bottom w:val="none" w:sz="0" w:space="0"/>
            <w:right w:val="none" w:sz="0" w:space="0"/>
          </w:pgBorders>
          <w:pgNumType w:fmt="decimal"/>
          <w:cols w:space="0" w:num="1"/>
          <w:rtlGutter w:val="0"/>
          <w:docGrid w:linePitch="312" w:charSpace="0"/>
        </w:sectPr>
      </w:pPr>
      <w:bookmarkStart w:id="162" w:name="pindex2116"/>
      <w:bookmarkEnd w:id="162"/>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2604"/>
      </w:tblGrid>
      <w:tr w14:paraId="0EAF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5" w:type="dxa"/>
            <w:vAlign w:val="center"/>
          </w:tcPr>
          <w:p w14:paraId="67877845">
            <w:pPr>
              <w:pStyle w:val="48"/>
              <w:bidi w:val="0"/>
              <w:jc w:val="center"/>
              <w:rPr>
                <w:rFonts w:hint="default"/>
                <w:color w:val="auto"/>
                <w:highlight w:val="none"/>
              </w:rPr>
            </w:pPr>
            <w:r>
              <w:rPr>
                <w:b/>
                <w:bCs/>
                <w:color w:val="auto"/>
                <w:kern w:val="0"/>
                <w:highlight w:val="none"/>
              </w:rPr>
              <w:t>运营期环境影响和保护措施</w:t>
            </w:r>
          </w:p>
        </w:tc>
        <w:tc>
          <w:tcPr>
            <w:tcW w:w="12604" w:type="dxa"/>
          </w:tcPr>
          <w:p w14:paraId="177313C9">
            <w:pPr>
              <w:pStyle w:val="52"/>
              <w:bidi w:val="0"/>
              <w:ind w:left="5518" w:leftChars="0" w:hanging="5518" w:firstLineChars="0"/>
              <w:rPr>
                <w:rFonts w:hint="default"/>
                <w:color w:val="auto"/>
              </w:rPr>
            </w:pPr>
            <w:r>
              <w:rPr>
                <w:color w:val="auto"/>
              </w:rPr>
              <w:t>本项目固体废物</w:t>
            </w:r>
            <w:r>
              <w:rPr>
                <w:rFonts w:hint="eastAsia"/>
                <w:color w:val="auto"/>
              </w:rPr>
              <w:t>产生及处理、处置一览表</w:t>
            </w:r>
          </w:p>
          <w:tbl>
            <w:tblPr>
              <w:tblStyle w:val="3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544"/>
              <w:gridCol w:w="686"/>
              <w:gridCol w:w="1496"/>
              <w:gridCol w:w="540"/>
              <w:gridCol w:w="1575"/>
              <w:gridCol w:w="1193"/>
              <w:gridCol w:w="742"/>
              <w:gridCol w:w="855"/>
              <w:gridCol w:w="1380"/>
              <w:gridCol w:w="1005"/>
              <w:gridCol w:w="869"/>
            </w:tblGrid>
            <w:tr w14:paraId="195B9E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200" w:type="pct"/>
                  <w:vAlign w:val="center"/>
                </w:tcPr>
                <w:p w14:paraId="5B81A4EF">
                  <w:pPr>
                    <w:pStyle w:val="48"/>
                    <w:rPr>
                      <w:b/>
                      <w:bCs/>
                      <w:color w:val="auto"/>
                      <w:highlight w:val="none"/>
                    </w:rPr>
                  </w:pPr>
                  <w:r>
                    <w:rPr>
                      <w:b/>
                      <w:bCs/>
                      <w:color w:val="auto"/>
                      <w:highlight w:val="none"/>
                    </w:rPr>
                    <w:t>序号</w:t>
                  </w:r>
                </w:p>
              </w:tc>
              <w:tc>
                <w:tcPr>
                  <w:tcW w:w="623" w:type="pct"/>
                  <w:vAlign w:val="center"/>
                </w:tcPr>
                <w:p w14:paraId="534AB4E1">
                  <w:pPr>
                    <w:pStyle w:val="48"/>
                    <w:rPr>
                      <w:b/>
                      <w:bCs/>
                      <w:color w:val="auto"/>
                      <w:highlight w:val="none"/>
                    </w:rPr>
                  </w:pPr>
                  <w:r>
                    <w:rPr>
                      <w:b/>
                      <w:bCs/>
                      <w:color w:val="auto"/>
                      <w:highlight w:val="none"/>
                    </w:rPr>
                    <w:t>固废名称</w:t>
                  </w:r>
                </w:p>
              </w:tc>
              <w:tc>
                <w:tcPr>
                  <w:tcW w:w="277" w:type="pct"/>
                  <w:vAlign w:val="center"/>
                </w:tcPr>
                <w:p w14:paraId="7BA42E39">
                  <w:pPr>
                    <w:pStyle w:val="48"/>
                    <w:rPr>
                      <w:b/>
                      <w:bCs/>
                      <w:color w:val="auto"/>
                      <w:highlight w:val="none"/>
                    </w:rPr>
                  </w:pPr>
                  <w:r>
                    <w:rPr>
                      <w:b/>
                      <w:bCs/>
                      <w:color w:val="auto"/>
                      <w:highlight w:val="none"/>
                    </w:rPr>
                    <w:t>属性</w:t>
                  </w:r>
                </w:p>
              </w:tc>
              <w:tc>
                <w:tcPr>
                  <w:tcW w:w="604" w:type="pct"/>
                  <w:vAlign w:val="center"/>
                </w:tcPr>
                <w:p w14:paraId="236A8285">
                  <w:pPr>
                    <w:pStyle w:val="48"/>
                    <w:rPr>
                      <w:b/>
                      <w:bCs/>
                      <w:color w:val="auto"/>
                      <w:highlight w:val="none"/>
                    </w:rPr>
                  </w:pPr>
                  <w:r>
                    <w:rPr>
                      <w:b/>
                      <w:bCs/>
                      <w:color w:val="auto"/>
                      <w:highlight w:val="none"/>
                    </w:rPr>
                    <w:t>产生工序</w:t>
                  </w:r>
                </w:p>
              </w:tc>
              <w:tc>
                <w:tcPr>
                  <w:tcW w:w="218" w:type="pct"/>
                  <w:vAlign w:val="center"/>
                </w:tcPr>
                <w:p w14:paraId="7C56F6A1">
                  <w:pPr>
                    <w:pStyle w:val="48"/>
                    <w:rPr>
                      <w:b/>
                      <w:bCs/>
                      <w:color w:val="auto"/>
                      <w:highlight w:val="none"/>
                    </w:rPr>
                  </w:pPr>
                  <w:r>
                    <w:rPr>
                      <w:b/>
                      <w:bCs/>
                      <w:color w:val="auto"/>
                      <w:highlight w:val="none"/>
                    </w:rPr>
                    <w:t>形态</w:t>
                  </w:r>
                </w:p>
              </w:tc>
              <w:tc>
                <w:tcPr>
                  <w:tcW w:w="636" w:type="pct"/>
                  <w:vAlign w:val="center"/>
                </w:tcPr>
                <w:p w14:paraId="59CCCB93">
                  <w:pPr>
                    <w:pStyle w:val="48"/>
                    <w:rPr>
                      <w:b/>
                      <w:bCs/>
                      <w:color w:val="auto"/>
                      <w:highlight w:val="none"/>
                    </w:rPr>
                  </w:pPr>
                  <w:r>
                    <w:rPr>
                      <w:b/>
                      <w:bCs/>
                      <w:color w:val="auto"/>
                      <w:highlight w:val="none"/>
                    </w:rPr>
                    <w:t>主要成分</w:t>
                  </w:r>
                </w:p>
              </w:tc>
              <w:tc>
                <w:tcPr>
                  <w:tcW w:w="481" w:type="pct"/>
                  <w:vAlign w:val="center"/>
                </w:tcPr>
                <w:p w14:paraId="69C26951">
                  <w:pPr>
                    <w:pStyle w:val="48"/>
                    <w:rPr>
                      <w:b/>
                      <w:bCs/>
                      <w:color w:val="auto"/>
                      <w:highlight w:val="none"/>
                    </w:rPr>
                  </w:pPr>
                  <w:r>
                    <w:rPr>
                      <w:b/>
                      <w:bCs/>
                      <w:color w:val="auto"/>
                      <w:highlight w:val="none"/>
                    </w:rPr>
                    <w:t>危险特性鉴别方法</w:t>
                  </w:r>
                </w:p>
              </w:tc>
              <w:tc>
                <w:tcPr>
                  <w:tcW w:w="299" w:type="pct"/>
                  <w:vAlign w:val="center"/>
                </w:tcPr>
                <w:p w14:paraId="44159289">
                  <w:pPr>
                    <w:pStyle w:val="48"/>
                    <w:rPr>
                      <w:b/>
                      <w:bCs/>
                      <w:color w:val="auto"/>
                      <w:highlight w:val="none"/>
                    </w:rPr>
                  </w:pPr>
                  <w:r>
                    <w:rPr>
                      <w:b/>
                      <w:bCs/>
                      <w:color w:val="auto"/>
                      <w:highlight w:val="none"/>
                    </w:rPr>
                    <w:t>危险特性</w:t>
                  </w:r>
                </w:p>
              </w:tc>
              <w:tc>
                <w:tcPr>
                  <w:tcW w:w="345" w:type="pct"/>
                  <w:vAlign w:val="center"/>
                </w:tcPr>
                <w:p w14:paraId="3689D2E8">
                  <w:pPr>
                    <w:pStyle w:val="48"/>
                    <w:rPr>
                      <w:b/>
                      <w:bCs/>
                      <w:color w:val="auto"/>
                      <w:highlight w:val="none"/>
                    </w:rPr>
                  </w:pPr>
                  <w:r>
                    <w:rPr>
                      <w:b/>
                      <w:bCs/>
                      <w:color w:val="auto"/>
                      <w:highlight w:val="none"/>
                    </w:rPr>
                    <w:t>废物类别</w:t>
                  </w:r>
                </w:p>
              </w:tc>
              <w:tc>
                <w:tcPr>
                  <w:tcW w:w="557" w:type="pct"/>
                  <w:vAlign w:val="center"/>
                </w:tcPr>
                <w:p w14:paraId="767CC0C6">
                  <w:pPr>
                    <w:pStyle w:val="48"/>
                    <w:rPr>
                      <w:b/>
                      <w:bCs/>
                      <w:color w:val="auto"/>
                      <w:highlight w:val="none"/>
                    </w:rPr>
                  </w:pPr>
                  <w:r>
                    <w:rPr>
                      <w:b/>
                      <w:bCs/>
                      <w:color w:val="auto"/>
                      <w:highlight w:val="none"/>
                    </w:rPr>
                    <w:t>废物代码</w:t>
                  </w:r>
                </w:p>
              </w:tc>
              <w:tc>
                <w:tcPr>
                  <w:tcW w:w="405" w:type="pct"/>
                  <w:vAlign w:val="center"/>
                </w:tcPr>
                <w:p w14:paraId="222E5D56">
                  <w:pPr>
                    <w:pStyle w:val="48"/>
                    <w:rPr>
                      <w:b/>
                      <w:bCs/>
                      <w:color w:val="auto"/>
                      <w:highlight w:val="none"/>
                    </w:rPr>
                  </w:pPr>
                  <w:r>
                    <w:rPr>
                      <w:b/>
                      <w:bCs/>
                      <w:color w:val="auto"/>
                      <w:highlight w:val="none"/>
                    </w:rPr>
                    <w:t>产生量</w:t>
                  </w:r>
                </w:p>
                <w:p w14:paraId="5A0A738E">
                  <w:pPr>
                    <w:pStyle w:val="48"/>
                    <w:rPr>
                      <w:b/>
                      <w:bCs/>
                      <w:color w:val="auto"/>
                      <w:highlight w:val="none"/>
                    </w:rPr>
                  </w:pPr>
                  <w:r>
                    <w:rPr>
                      <w:b/>
                      <w:bCs/>
                      <w:color w:val="auto"/>
                      <w:highlight w:val="none"/>
                    </w:rPr>
                    <w:t>t/a</w:t>
                  </w:r>
                </w:p>
              </w:tc>
              <w:tc>
                <w:tcPr>
                  <w:tcW w:w="350" w:type="pct"/>
                  <w:vAlign w:val="center"/>
                </w:tcPr>
                <w:p w14:paraId="3996A809">
                  <w:pPr>
                    <w:pStyle w:val="48"/>
                    <w:rPr>
                      <w:b/>
                      <w:bCs/>
                      <w:color w:val="auto"/>
                      <w:highlight w:val="none"/>
                    </w:rPr>
                  </w:pPr>
                  <w:r>
                    <w:rPr>
                      <w:b/>
                      <w:bCs/>
                      <w:color w:val="auto"/>
                      <w:highlight w:val="none"/>
                    </w:rPr>
                    <w:t>处置去向</w:t>
                  </w:r>
                </w:p>
              </w:tc>
            </w:tr>
            <w:tr w14:paraId="69FD53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0" w:type="pct"/>
                  <w:vAlign w:val="center"/>
                </w:tcPr>
                <w:p w14:paraId="73E27217">
                  <w:pPr>
                    <w:pStyle w:val="48"/>
                    <w:numPr>
                      <w:ilvl w:val="0"/>
                      <w:numId w:val="23"/>
                    </w:numPr>
                    <w:rPr>
                      <w:rFonts w:hint="eastAsia" w:ascii="Times New Roman" w:hAnsi="Times New Roman" w:eastAsia="宋体" w:cs="Times New Roman"/>
                      <w:color w:val="auto"/>
                      <w:highlight w:val="none"/>
                    </w:rPr>
                  </w:pPr>
                </w:p>
              </w:tc>
              <w:tc>
                <w:tcPr>
                  <w:tcW w:w="623" w:type="pct"/>
                  <w:shd w:val="clear" w:color="auto" w:fill="auto"/>
                  <w:vAlign w:val="center"/>
                </w:tcPr>
                <w:p w14:paraId="4DE9BA4C">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生活垃圾</w:t>
                  </w:r>
                </w:p>
              </w:tc>
              <w:tc>
                <w:tcPr>
                  <w:tcW w:w="277" w:type="pct"/>
                  <w:shd w:val="clear" w:color="auto" w:fill="auto"/>
                  <w:vAlign w:val="center"/>
                </w:tcPr>
                <w:p w14:paraId="410CAD09">
                  <w:pPr>
                    <w:pStyle w:val="48"/>
                    <w:bidi w:val="0"/>
                    <w:ind w:firstLine="0" w:firstLineChars="0"/>
                    <w:rPr>
                      <w:rFonts w:hint="default"/>
                      <w:color w:val="auto"/>
                      <w:highlight w:val="none"/>
                      <w:lang w:val="en-US" w:eastAsia="zh-CN"/>
                    </w:rPr>
                  </w:pPr>
                  <w:r>
                    <w:rPr>
                      <w:rFonts w:hint="eastAsia"/>
                      <w:color w:val="auto"/>
                      <w:highlight w:val="none"/>
                      <w:lang w:val="en-US" w:eastAsia="zh-CN"/>
                    </w:rPr>
                    <w:t>生活垃圾</w:t>
                  </w:r>
                </w:p>
              </w:tc>
              <w:tc>
                <w:tcPr>
                  <w:tcW w:w="604" w:type="pct"/>
                  <w:shd w:val="clear" w:color="auto" w:fill="auto"/>
                  <w:vAlign w:val="center"/>
                </w:tcPr>
                <w:p w14:paraId="6D3A5506">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办公生活</w:t>
                  </w:r>
                </w:p>
              </w:tc>
              <w:tc>
                <w:tcPr>
                  <w:tcW w:w="218" w:type="pct"/>
                  <w:shd w:val="clear" w:color="auto" w:fill="auto"/>
                  <w:vAlign w:val="center"/>
                </w:tcPr>
                <w:p w14:paraId="0D55778B">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固</w:t>
                  </w:r>
                </w:p>
              </w:tc>
              <w:tc>
                <w:tcPr>
                  <w:tcW w:w="636" w:type="pct"/>
                  <w:shd w:val="clear" w:color="auto" w:fill="auto"/>
                  <w:vAlign w:val="center"/>
                </w:tcPr>
                <w:p w14:paraId="25E6F106">
                  <w:pPr>
                    <w:pStyle w:val="48"/>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纸、塑料</w:t>
                  </w:r>
                </w:p>
              </w:tc>
              <w:tc>
                <w:tcPr>
                  <w:tcW w:w="481" w:type="pct"/>
                  <w:vMerge w:val="restart"/>
                  <w:shd w:val="clear" w:color="auto" w:fill="auto"/>
                  <w:vAlign w:val="center"/>
                </w:tcPr>
                <w:p w14:paraId="5E0954E0">
                  <w:pPr>
                    <w:pStyle w:val="48"/>
                    <w:bidi w:val="0"/>
                    <w:ind w:firstLine="0" w:firstLineChars="0"/>
                    <w:rPr>
                      <w:rFonts w:hint="eastAsia"/>
                      <w:color w:val="auto"/>
                      <w:highlight w:val="none"/>
                      <w:lang w:val="en-US" w:eastAsia="zh-CN"/>
                    </w:rPr>
                  </w:pPr>
                  <w:r>
                    <w:rPr>
                      <w:rFonts w:hint="eastAsia"/>
                      <w:color w:val="auto"/>
                      <w:highlight w:val="none"/>
                      <w:lang w:val="en-US" w:eastAsia="zh-CN"/>
                    </w:rPr>
                    <w:t>《国家危险废物名录》（2025版）</w:t>
                  </w:r>
                </w:p>
              </w:tc>
              <w:tc>
                <w:tcPr>
                  <w:tcW w:w="299" w:type="pct"/>
                  <w:shd w:val="clear" w:color="auto" w:fill="auto"/>
                  <w:vAlign w:val="center"/>
                </w:tcPr>
                <w:p w14:paraId="3BBAF83E">
                  <w:pPr>
                    <w:pStyle w:val="48"/>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w:t>
                  </w:r>
                </w:p>
              </w:tc>
              <w:tc>
                <w:tcPr>
                  <w:tcW w:w="345" w:type="pct"/>
                  <w:shd w:val="clear" w:color="auto" w:fill="auto"/>
                  <w:vAlign w:val="center"/>
                </w:tcPr>
                <w:p w14:paraId="0327DC2B">
                  <w:pPr>
                    <w:pStyle w:val="48"/>
                    <w:shd w:val="clear"/>
                    <w:tabs>
                      <w:tab w:val="left" w:pos="0"/>
                    </w:tabs>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SW64</w:t>
                  </w:r>
                </w:p>
              </w:tc>
              <w:tc>
                <w:tcPr>
                  <w:tcW w:w="557" w:type="pct"/>
                  <w:shd w:val="clear" w:color="auto" w:fill="auto"/>
                  <w:vAlign w:val="center"/>
                </w:tcPr>
                <w:p w14:paraId="13F5C309">
                  <w:pPr>
                    <w:pStyle w:val="48"/>
                    <w:shd w:val="clear"/>
                    <w:tabs>
                      <w:tab w:val="left" w:pos="0"/>
                    </w:tabs>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rPr>
                    <w:t>900-0</w:t>
                  </w:r>
                  <w:r>
                    <w:rPr>
                      <w:rFonts w:hint="eastAsia"/>
                      <w:color w:val="auto"/>
                      <w:highlight w:val="none"/>
                      <w:lang w:val="en-US" w:eastAsia="zh-CN"/>
                    </w:rPr>
                    <w:t>99</w:t>
                  </w:r>
                  <w:r>
                    <w:rPr>
                      <w:rFonts w:hint="eastAsia"/>
                      <w:color w:val="auto"/>
                      <w:highlight w:val="none"/>
                    </w:rPr>
                    <w:t>-S6</w:t>
                  </w:r>
                  <w:r>
                    <w:rPr>
                      <w:rFonts w:hint="eastAsia"/>
                      <w:color w:val="auto"/>
                      <w:highlight w:val="none"/>
                      <w:lang w:val="en-US" w:eastAsia="zh-CN"/>
                    </w:rPr>
                    <w:t>4</w:t>
                  </w:r>
                </w:p>
              </w:tc>
              <w:tc>
                <w:tcPr>
                  <w:tcW w:w="405" w:type="pct"/>
                  <w:shd w:val="clear" w:color="auto" w:fill="auto"/>
                  <w:vAlign w:val="center"/>
                </w:tcPr>
                <w:p w14:paraId="380DECE8">
                  <w:pPr>
                    <w:pStyle w:val="48"/>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0.625</w:t>
                  </w:r>
                </w:p>
              </w:tc>
              <w:tc>
                <w:tcPr>
                  <w:tcW w:w="350" w:type="pct"/>
                  <w:vAlign w:val="center"/>
                </w:tcPr>
                <w:p w14:paraId="0A1E2CB2">
                  <w:pPr>
                    <w:pStyle w:val="48"/>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环卫清运</w:t>
                  </w:r>
                </w:p>
              </w:tc>
            </w:tr>
            <w:tr w14:paraId="78C62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0" w:type="pct"/>
                  <w:vAlign w:val="center"/>
                </w:tcPr>
                <w:p w14:paraId="7790EE7F">
                  <w:pPr>
                    <w:pStyle w:val="48"/>
                    <w:numPr>
                      <w:ilvl w:val="0"/>
                      <w:numId w:val="23"/>
                    </w:numPr>
                    <w:rPr>
                      <w:rFonts w:hint="eastAsia" w:ascii="Times New Roman" w:hAnsi="Times New Roman" w:eastAsia="宋体" w:cs="Times New Roman"/>
                      <w:color w:val="auto"/>
                      <w:highlight w:val="none"/>
                    </w:rPr>
                  </w:pPr>
                </w:p>
              </w:tc>
              <w:tc>
                <w:tcPr>
                  <w:tcW w:w="623" w:type="pct"/>
                  <w:shd w:val="clear" w:color="auto" w:fill="auto"/>
                  <w:vAlign w:val="center"/>
                </w:tcPr>
                <w:p w14:paraId="1AA69E88">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废包装材料</w:t>
                  </w:r>
                </w:p>
              </w:tc>
              <w:tc>
                <w:tcPr>
                  <w:tcW w:w="277" w:type="pct"/>
                  <w:vMerge w:val="restart"/>
                  <w:shd w:val="clear" w:color="auto" w:fill="auto"/>
                  <w:vAlign w:val="center"/>
                </w:tcPr>
                <w:p w14:paraId="67C7B704">
                  <w:pPr>
                    <w:pStyle w:val="48"/>
                    <w:bidi w:val="0"/>
                    <w:ind w:firstLine="0" w:firstLineChars="0"/>
                    <w:rPr>
                      <w:rFonts w:hint="default"/>
                      <w:color w:val="auto"/>
                      <w:highlight w:val="none"/>
                      <w:lang w:val="en-US" w:eastAsia="zh-CN"/>
                    </w:rPr>
                  </w:pPr>
                  <w:r>
                    <w:rPr>
                      <w:rFonts w:hint="eastAsia"/>
                      <w:color w:val="auto"/>
                      <w:highlight w:val="none"/>
                      <w:lang w:val="en-US" w:eastAsia="zh-CN"/>
                    </w:rPr>
                    <w:t>一般工业固废</w:t>
                  </w:r>
                </w:p>
              </w:tc>
              <w:tc>
                <w:tcPr>
                  <w:tcW w:w="604" w:type="pct"/>
                  <w:shd w:val="clear" w:color="auto" w:fill="auto"/>
                  <w:vAlign w:val="center"/>
                </w:tcPr>
                <w:p w14:paraId="12A80788">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组装</w:t>
                  </w:r>
                </w:p>
              </w:tc>
              <w:tc>
                <w:tcPr>
                  <w:tcW w:w="218" w:type="pct"/>
                  <w:shd w:val="clear" w:color="auto" w:fill="auto"/>
                  <w:vAlign w:val="center"/>
                </w:tcPr>
                <w:p w14:paraId="2A7C9EDC">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rPr>
                    <w:t>固</w:t>
                  </w:r>
                </w:p>
              </w:tc>
              <w:tc>
                <w:tcPr>
                  <w:tcW w:w="636" w:type="pct"/>
                  <w:shd w:val="clear" w:color="auto" w:fill="auto"/>
                  <w:vAlign w:val="center"/>
                </w:tcPr>
                <w:p w14:paraId="151100A7">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b w:val="0"/>
                      <w:bCs w:val="0"/>
                      <w:color w:val="auto"/>
                      <w:sz w:val="21"/>
                      <w:szCs w:val="21"/>
                      <w:vertAlign w:val="baseline"/>
                      <w:lang w:val="en-US" w:eastAsia="zh-CN"/>
                    </w:rPr>
                    <w:t>线材、纸</w:t>
                  </w:r>
                </w:p>
              </w:tc>
              <w:tc>
                <w:tcPr>
                  <w:tcW w:w="481" w:type="pct"/>
                  <w:vMerge w:val="continue"/>
                  <w:shd w:val="clear" w:color="auto" w:fill="auto"/>
                  <w:vAlign w:val="center"/>
                </w:tcPr>
                <w:p w14:paraId="49D716A8">
                  <w:pPr>
                    <w:pStyle w:val="48"/>
                    <w:bidi w:val="0"/>
                    <w:ind w:firstLine="0" w:firstLineChars="0"/>
                    <w:rPr>
                      <w:rFonts w:hint="eastAsia"/>
                      <w:color w:val="auto"/>
                      <w:highlight w:val="none"/>
                      <w:lang w:val="en-US" w:eastAsia="zh-CN"/>
                    </w:rPr>
                  </w:pPr>
                </w:p>
              </w:tc>
              <w:tc>
                <w:tcPr>
                  <w:tcW w:w="299" w:type="pct"/>
                  <w:shd w:val="clear" w:color="auto" w:fill="auto"/>
                  <w:vAlign w:val="center"/>
                </w:tcPr>
                <w:p w14:paraId="46250E5C">
                  <w:pPr>
                    <w:pStyle w:val="48"/>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w:t>
                  </w:r>
                </w:p>
              </w:tc>
              <w:tc>
                <w:tcPr>
                  <w:tcW w:w="345" w:type="pct"/>
                  <w:shd w:val="clear" w:color="auto" w:fill="auto"/>
                  <w:vAlign w:val="center"/>
                </w:tcPr>
                <w:p w14:paraId="507D5B65">
                  <w:pPr>
                    <w:pStyle w:val="48"/>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SW17</w:t>
                  </w:r>
                </w:p>
              </w:tc>
              <w:tc>
                <w:tcPr>
                  <w:tcW w:w="557" w:type="pct"/>
                  <w:shd w:val="clear" w:color="auto" w:fill="auto"/>
                  <w:vAlign w:val="center"/>
                </w:tcPr>
                <w:p w14:paraId="43E1328B">
                  <w:pPr>
                    <w:pStyle w:val="48"/>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900-099-S17</w:t>
                  </w:r>
                </w:p>
              </w:tc>
              <w:tc>
                <w:tcPr>
                  <w:tcW w:w="405" w:type="pct"/>
                  <w:shd w:val="clear" w:color="auto" w:fill="auto"/>
                  <w:vAlign w:val="center"/>
                </w:tcPr>
                <w:p w14:paraId="5AD7AD41">
                  <w:pPr>
                    <w:pStyle w:val="48"/>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0.05</w:t>
                  </w:r>
                </w:p>
              </w:tc>
              <w:tc>
                <w:tcPr>
                  <w:tcW w:w="350" w:type="pct"/>
                  <w:vMerge w:val="restart"/>
                  <w:vAlign w:val="center"/>
                </w:tcPr>
                <w:p w14:paraId="27807BB3">
                  <w:pPr>
                    <w:pStyle w:val="48"/>
                    <w:ind w:firstLine="0" w:firstLineChars="0"/>
                    <w:rPr>
                      <w:rFonts w:hint="default"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暂存，</w:t>
                  </w:r>
                  <w:r>
                    <w:rPr>
                      <w:rFonts w:hint="eastAsia"/>
                      <w:color w:val="auto"/>
                      <w:lang w:val="en-US" w:eastAsia="zh-CN"/>
                    </w:rPr>
                    <w:t>合规处置</w:t>
                  </w:r>
                </w:p>
              </w:tc>
            </w:tr>
            <w:tr w14:paraId="4F51FE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00" w:type="pct"/>
                  <w:vAlign w:val="center"/>
                </w:tcPr>
                <w:p w14:paraId="74BCB595">
                  <w:pPr>
                    <w:pStyle w:val="48"/>
                    <w:numPr>
                      <w:ilvl w:val="0"/>
                      <w:numId w:val="23"/>
                    </w:numPr>
                    <w:rPr>
                      <w:rFonts w:hint="eastAsia" w:ascii="Times New Roman" w:hAnsi="Times New Roman" w:eastAsia="宋体" w:cs="Times New Roman"/>
                      <w:color w:val="auto"/>
                      <w:highlight w:val="none"/>
                    </w:rPr>
                  </w:pPr>
                </w:p>
              </w:tc>
              <w:tc>
                <w:tcPr>
                  <w:tcW w:w="623" w:type="pct"/>
                  <w:shd w:val="clear" w:color="auto" w:fill="auto"/>
                  <w:vAlign w:val="center"/>
                </w:tcPr>
                <w:p w14:paraId="6D2745B6">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废电池电芯</w:t>
                  </w:r>
                </w:p>
              </w:tc>
              <w:tc>
                <w:tcPr>
                  <w:tcW w:w="277" w:type="pct"/>
                  <w:vMerge w:val="continue"/>
                  <w:shd w:val="clear" w:color="auto" w:fill="auto"/>
                  <w:vAlign w:val="center"/>
                </w:tcPr>
                <w:p w14:paraId="35F76ADF">
                  <w:pPr>
                    <w:pStyle w:val="48"/>
                    <w:bidi w:val="0"/>
                    <w:ind w:firstLine="0" w:firstLineChars="0"/>
                    <w:rPr>
                      <w:rFonts w:hint="eastAsia"/>
                      <w:color w:val="auto"/>
                      <w:highlight w:val="none"/>
                      <w:lang w:val="en-US" w:eastAsia="zh-CN"/>
                    </w:rPr>
                  </w:pPr>
                </w:p>
              </w:tc>
              <w:tc>
                <w:tcPr>
                  <w:tcW w:w="604" w:type="pct"/>
                  <w:shd w:val="clear" w:color="auto" w:fill="auto"/>
                  <w:vAlign w:val="center"/>
                </w:tcPr>
                <w:p w14:paraId="1D218626">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测试检验</w:t>
                  </w:r>
                </w:p>
              </w:tc>
              <w:tc>
                <w:tcPr>
                  <w:tcW w:w="218" w:type="pct"/>
                  <w:shd w:val="clear" w:color="auto" w:fill="auto"/>
                  <w:vAlign w:val="center"/>
                </w:tcPr>
                <w:p w14:paraId="5CD77B16">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color w:val="auto"/>
                      <w:highlight w:val="none"/>
                    </w:rPr>
                  </w:pPr>
                  <w:r>
                    <w:rPr>
                      <w:rFonts w:hint="eastAsia"/>
                      <w:color w:val="auto"/>
                      <w:sz w:val="21"/>
                      <w:szCs w:val="21"/>
                      <w:highlight w:val="none"/>
                    </w:rPr>
                    <w:t>固</w:t>
                  </w:r>
                </w:p>
              </w:tc>
              <w:tc>
                <w:tcPr>
                  <w:tcW w:w="636" w:type="pct"/>
                  <w:shd w:val="clear" w:color="auto" w:fill="auto"/>
                  <w:vAlign w:val="center"/>
                </w:tcPr>
                <w:p w14:paraId="058C3AFE">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color w:val="auto"/>
                      <w:highlight w:val="none"/>
                      <w:lang w:val="en-US" w:eastAsia="zh-CN"/>
                    </w:rPr>
                  </w:pPr>
                  <w:r>
                    <w:rPr>
                      <w:rFonts w:hint="eastAsia" w:ascii="Times New Roman" w:hAnsi="Times New Roman" w:cs="Times New Roman"/>
                      <w:b w:val="0"/>
                      <w:bCs w:val="0"/>
                      <w:color w:val="auto"/>
                      <w:sz w:val="21"/>
                      <w:szCs w:val="21"/>
                      <w:highlight w:val="none"/>
                      <w:u w:val="none"/>
                      <w:vertAlign w:val="baseline"/>
                      <w:lang w:val="en-US" w:eastAsia="zh-CN"/>
                    </w:rPr>
                    <w:t>电池、电芯</w:t>
                  </w:r>
                </w:p>
              </w:tc>
              <w:tc>
                <w:tcPr>
                  <w:tcW w:w="481" w:type="pct"/>
                  <w:vMerge w:val="continue"/>
                  <w:shd w:val="clear" w:color="auto" w:fill="auto"/>
                  <w:vAlign w:val="center"/>
                </w:tcPr>
                <w:p w14:paraId="2824F5F2">
                  <w:pPr>
                    <w:pStyle w:val="48"/>
                    <w:bidi w:val="0"/>
                    <w:ind w:firstLine="0" w:firstLineChars="0"/>
                    <w:rPr>
                      <w:rFonts w:hint="eastAsia"/>
                      <w:color w:val="auto"/>
                      <w:highlight w:val="none"/>
                      <w:lang w:val="en-US" w:eastAsia="zh-CN"/>
                    </w:rPr>
                  </w:pPr>
                </w:p>
              </w:tc>
              <w:tc>
                <w:tcPr>
                  <w:tcW w:w="299" w:type="pct"/>
                  <w:shd w:val="clear" w:color="auto" w:fill="auto"/>
                  <w:vAlign w:val="center"/>
                </w:tcPr>
                <w:p w14:paraId="6FECC023">
                  <w:pPr>
                    <w:pStyle w:val="48"/>
                    <w:bidi w:val="0"/>
                    <w:ind w:firstLine="0" w:firstLineChars="0"/>
                    <w:rPr>
                      <w:rFonts w:hint="default"/>
                      <w:color w:val="auto"/>
                      <w:highlight w:val="none"/>
                      <w:lang w:val="en-US" w:eastAsia="zh-CN"/>
                    </w:rPr>
                  </w:pPr>
                  <w:r>
                    <w:rPr>
                      <w:rFonts w:hint="eastAsia"/>
                      <w:color w:val="auto"/>
                      <w:highlight w:val="none"/>
                      <w:lang w:val="en-US" w:eastAsia="zh-CN"/>
                    </w:rPr>
                    <w:t>/</w:t>
                  </w:r>
                </w:p>
              </w:tc>
              <w:tc>
                <w:tcPr>
                  <w:tcW w:w="345" w:type="pct"/>
                  <w:shd w:val="clear" w:color="auto" w:fill="auto"/>
                  <w:vAlign w:val="center"/>
                </w:tcPr>
                <w:p w14:paraId="2504E972">
                  <w:pPr>
                    <w:pStyle w:val="48"/>
                    <w:bidi w:val="0"/>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SW17</w:t>
                  </w:r>
                </w:p>
              </w:tc>
              <w:tc>
                <w:tcPr>
                  <w:tcW w:w="557" w:type="pct"/>
                  <w:shd w:val="clear" w:color="auto" w:fill="auto"/>
                  <w:vAlign w:val="center"/>
                </w:tcPr>
                <w:p w14:paraId="6F6F127C">
                  <w:pPr>
                    <w:pStyle w:val="48"/>
                    <w:bidi w:val="0"/>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900-012-S17</w:t>
                  </w:r>
                </w:p>
              </w:tc>
              <w:tc>
                <w:tcPr>
                  <w:tcW w:w="405" w:type="pct"/>
                  <w:shd w:val="clear" w:color="auto" w:fill="auto"/>
                  <w:vAlign w:val="center"/>
                </w:tcPr>
                <w:p w14:paraId="50688286">
                  <w:pPr>
                    <w:pStyle w:val="48"/>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1.4</w:t>
                  </w:r>
                </w:p>
              </w:tc>
              <w:tc>
                <w:tcPr>
                  <w:tcW w:w="350" w:type="pct"/>
                  <w:vMerge w:val="continue"/>
                  <w:vAlign w:val="center"/>
                </w:tcPr>
                <w:p w14:paraId="7AEB174D">
                  <w:pPr>
                    <w:pStyle w:val="48"/>
                    <w:ind w:firstLine="0" w:firstLineChars="0"/>
                    <w:rPr>
                      <w:rFonts w:hint="eastAsia" w:cs="Times New Roman"/>
                      <w:color w:val="auto"/>
                      <w:kern w:val="0"/>
                      <w:sz w:val="21"/>
                      <w:szCs w:val="24"/>
                      <w:highlight w:val="none"/>
                      <w:lang w:val="en-US" w:eastAsia="zh-CN" w:bidi="ar-SA"/>
                    </w:rPr>
                  </w:pPr>
                </w:p>
              </w:tc>
            </w:tr>
            <w:tr w14:paraId="37A8A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0" w:type="pct"/>
                  <w:vAlign w:val="center"/>
                </w:tcPr>
                <w:p w14:paraId="12D462EF">
                  <w:pPr>
                    <w:pStyle w:val="48"/>
                    <w:numPr>
                      <w:ilvl w:val="0"/>
                      <w:numId w:val="23"/>
                    </w:numPr>
                    <w:rPr>
                      <w:rFonts w:hint="eastAsia" w:ascii="Times New Roman" w:hAnsi="Times New Roman" w:eastAsia="宋体" w:cs="Times New Roman"/>
                      <w:color w:val="auto"/>
                      <w:highlight w:val="none"/>
                    </w:rPr>
                  </w:pPr>
                </w:p>
              </w:tc>
              <w:tc>
                <w:tcPr>
                  <w:tcW w:w="623" w:type="pct"/>
                  <w:shd w:val="clear" w:color="auto" w:fill="auto"/>
                  <w:vAlign w:val="center"/>
                </w:tcPr>
                <w:p w14:paraId="65790F02">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报废灭火器瓶</w:t>
                  </w:r>
                </w:p>
              </w:tc>
              <w:tc>
                <w:tcPr>
                  <w:tcW w:w="277" w:type="pct"/>
                  <w:vMerge w:val="continue"/>
                  <w:shd w:val="clear" w:color="auto" w:fill="auto"/>
                  <w:vAlign w:val="center"/>
                </w:tcPr>
                <w:p w14:paraId="5D55651D">
                  <w:pPr>
                    <w:pStyle w:val="48"/>
                    <w:bidi w:val="0"/>
                    <w:ind w:firstLine="0" w:firstLineChars="0"/>
                    <w:rPr>
                      <w:rFonts w:hint="eastAsia"/>
                      <w:color w:val="auto"/>
                      <w:highlight w:val="none"/>
                      <w:lang w:val="en-US" w:eastAsia="zh-CN"/>
                    </w:rPr>
                  </w:pPr>
                </w:p>
              </w:tc>
              <w:tc>
                <w:tcPr>
                  <w:tcW w:w="604" w:type="pct"/>
                  <w:shd w:val="clear" w:color="auto" w:fill="auto"/>
                  <w:vAlign w:val="center"/>
                </w:tcPr>
                <w:p w14:paraId="143B636B">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测试检验</w:t>
                  </w:r>
                </w:p>
              </w:tc>
              <w:tc>
                <w:tcPr>
                  <w:tcW w:w="218" w:type="pct"/>
                  <w:shd w:val="clear" w:color="auto" w:fill="auto"/>
                  <w:vAlign w:val="center"/>
                </w:tcPr>
                <w:p w14:paraId="78792627">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固</w:t>
                  </w:r>
                </w:p>
              </w:tc>
              <w:tc>
                <w:tcPr>
                  <w:tcW w:w="636" w:type="pct"/>
                  <w:shd w:val="clear" w:color="auto" w:fill="auto"/>
                  <w:vAlign w:val="center"/>
                </w:tcPr>
                <w:p w14:paraId="61FE475B">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灭火器瓶</w:t>
                  </w:r>
                </w:p>
              </w:tc>
              <w:tc>
                <w:tcPr>
                  <w:tcW w:w="481" w:type="pct"/>
                  <w:vMerge w:val="continue"/>
                  <w:shd w:val="clear" w:color="auto" w:fill="auto"/>
                  <w:vAlign w:val="center"/>
                </w:tcPr>
                <w:p w14:paraId="19F75706">
                  <w:pPr>
                    <w:pStyle w:val="48"/>
                    <w:bidi w:val="0"/>
                    <w:ind w:firstLine="0" w:firstLineChars="0"/>
                    <w:rPr>
                      <w:rFonts w:hint="eastAsia"/>
                      <w:color w:val="auto"/>
                      <w:highlight w:val="none"/>
                      <w:lang w:val="en-US" w:eastAsia="zh-CN"/>
                    </w:rPr>
                  </w:pPr>
                </w:p>
              </w:tc>
              <w:tc>
                <w:tcPr>
                  <w:tcW w:w="299" w:type="pct"/>
                  <w:shd w:val="clear" w:color="auto" w:fill="auto"/>
                  <w:vAlign w:val="center"/>
                </w:tcPr>
                <w:p w14:paraId="6214EA50">
                  <w:pPr>
                    <w:pStyle w:val="48"/>
                    <w:tabs>
                      <w:tab w:val="left" w:pos="0"/>
                    </w:tabs>
                    <w:ind w:firstLine="0" w:firstLineChars="0"/>
                    <w:rPr>
                      <w:rFonts w:hint="eastAsia"/>
                      <w:color w:val="auto"/>
                      <w:highlight w:val="none"/>
                      <w:lang w:val="en-US" w:eastAsia="zh-CN"/>
                    </w:rPr>
                  </w:pPr>
                  <w:r>
                    <w:rPr>
                      <w:rFonts w:hint="eastAsia"/>
                      <w:color w:val="auto"/>
                      <w:highlight w:val="none"/>
                    </w:rPr>
                    <w:t>/</w:t>
                  </w:r>
                </w:p>
              </w:tc>
              <w:tc>
                <w:tcPr>
                  <w:tcW w:w="345" w:type="pct"/>
                  <w:shd w:val="clear" w:color="auto" w:fill="auto"/>
                  <w:vAlign w:val="center"/>
                </w:tcPr>
                <w:p w14:paraId="5175E7AF">
                  <w:pPr>
                    <w:pStyle w:val="48"/>
                    <w:tabs>
                      <w:tab w:val="left" w:pos="0"/>
                    </w:tabs>
                    <w:ind w:firstLine="0" w:firstLineChars="0"/>
                    <w:rPr>
                      <w:rFonts w:hint="default" w:eastAsia="宋体" w:cs="Times New Roman"/>
                      <w:color w:val="auto"/>
                      <w:kern w:val="0"/>
                      <w:sz w:val="21"/>
                      <w:szCs w:val="24"/>
                      <w:highlight w:val="none"/>
                      <w:lang w:val="en-US" w:eastAsia="zh-CN" w:bidi="ar-SA"/>
                    </w:rPr>
                  </w:pPr>
                  <w:r>
                    <w:rPr>
                      <w:rFonts w:hint="eastAsia"/>
                      <w:color w:val="auto"/>
                      <w:highlight w:val="none"/>
                    </w:rPr>
                    <w:t>SW</w:t>
                  </w:r>
                  <w:r>
                    <w:rPr>
                      <w:rFonts w:hint="eastAsia"/>
                      <w:color w:val="auto"/>
                      <w:highlight w:val="none"/>
                      <w:lang w:val="en-US" w:eastAsia="zh-CN"/>
                    </w:rPr>
                    <w:t>17</w:t>
                  </w:r>
                </w:p>
              </w:tc>
              <w:tc>
                <w:tcPr>
                  <w:tcW w:w="557" w:type="pct"/>
                  <w:shd w:val="clear" w:color="auto" w:fill="auto"/>
                  <w:vAlign w:val="center"/>
                </w:tcPr>
                <w:p w14:paraId="7DEB2E43">
                  <w:pPr>
                    <w:pStyle w:val="48"/>
                    <w:tabs>
                      <w:tab w:val="left" w:pos="0"/>
                    </w:tabs>
                    <w:ind w:firstLine="0" w:firstLineChars="0"/>
                    <w:rPr>
                      <w:rFonts w:hint="default" w:eastAsia="宋体" w:cs="Times New Roman"/>
                      <w:color w:val="auto"/>
                      <w:kern w:val="0"/>
                      <w:sz w:val="21"/>
                      <w:szCs w:val="24"/>
                      <w:highlight w:val="none"/>
                      <w:lang w:val="en-US" w:eastAsia="zh-CN" w:bidi="ar-SA"/>
                    </w:rPr>
                  </w:pPr>
                  <w:r>
                    <w:rPr>
                      <w:rFonts w:hint="eastAsia"/>
                      <w:color w:val="auto"/>
                      <w:highlight w:val="none"/>
                    </w:rPr>
                    <w:t>900-099-S</w:t>
                  </w:r>
                  <w:r>
                    <w:rPr>
                      <w:rFonts w:hint="eastAsia"/>
                      <w:color w:val="auto"/>
                      <w:highlight w:val="none"/>
                      <w:lang w:val="en-US" w:eastAsia="zh-CN"/>
                    </w:rPr>
                    <w:t>17</w:t>
                  </w:r>
                </w:p>
              </w:tc>
              <w:tc>
                <w:tcPr>
                  <w:tcW w:w="405" w:type="pct"/>
                  <w:shd w:val="clear" w:color="auto" w:fill="auto"/>
                  <w:vAlign w:val="center"/>
                </w:tcPr>
                <w:p w14:paraId="76236381">
                  <w:pPr>
                    <w:pStyle w:val="48"/>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0.005</w:t>
                  </w:r>
                </w:p>
              </w:tc>
              <w:tc>
                <w:tcPr>
                  <w:tcW w:w="350" w:type="pct"/>
                  <w:vMerge w:val="continue"/>
                  <w:vAlign w:val="center"/>
                </w:tcPr>
                <w:p w14:paraId="684975D9">
                  <w:pPr>
                    <w:pStyle w:val="48"/>
                    <w:ind w:firstLine="0" w:firstLineChars="0"/>
                    <w:rPr>
                      <w:rFonts w:hint="eastAsia" w:cs="Times New Roman"/>
                      <w:color w:val="auto"/>
                      <w:kern w:val="0"/>
                      <w:sz w:val="21"/>
                      <w:szCs w:val="24"/>
                      <w:highlight w:val="none"/>
                      <w:lang w:val="en-US" w:eastAsia="zh-CN" w:bidi="ar-SA"/>
                    </w:rPr>
                  </w:pPr>
                </w:p>
              </w:tc>
            </w:tr>
            <w:tr w14:paraId="580E37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00" w:type="pct"/>
                  <w:vAlign w:val="center"/>
                </w:tcPr>
                <w:p w14:paraId="148C6D2C">
                  <w:pPr>
                    <w:pStyle w:val="48"/>
                    <w:numPr>
                      <w:ilvl w:val="0"/>
                      <w:numId w:val="23"/>
                    </w:numPr>
                    <w:rPr>
                      <w:rFonts w:hint="eastAsia" w:ascii="Times New Roman" w:hAnsi="Times New Roman" w:eastAsia="宋体" w:cs="Times New Roman"/>
                      <w:color w:val="auto"/>
                      <w:highlight w:val="none"/>
                    </w:rPr>
                  </w:pPr>
                </w:p>
              </w:tc>
              <w:tc>
                <w:tcPr>
                  <w:tcW w:w="623" w:type="pct"/>
                  <w:shd w:val="clear" w:color="auto" w:fill="auto"/>
                  <w:vAlign w:val="center"/>
                </w:tcPr>
                <w:p w14:paraId="315E27A1">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highlight w:val="none"/>
                      <w:lang w:val="en-US" w:eastAsia="zh-CN"/>
                    </w:rPr>
                    <w:t>泡电池废液</w:t>
                  </w:r>
                </w:p>
              </w:tc>
              <w:tc>
                <w:tcPr>
                  <w:tcW w:w="277" w:type="pct"/>
                  <w:vMerge w:val="restart"/>
                  <w:shd w:val="clear" w:color="auto" w:fill="auto"/>
                  <w:vAlign w:val="center"/>
                </w:tcPr>
                <w:p w14:paraId="5027DE14">
                  <w:pPr>
                    <w:pStyle w:val="48"/>
                    <w:bidi w:val="0"/>
                    <w:ind w:firstLine="0" w:firstLineChars="0"/>
                    <w:rPr>
                      <w:rFonts w:hint="default"/>
                      <w:color w:val="auto"/>
                      <w:highlight w:val="none"/>
                      <w:lang w:val="en-US" w:eastAsia="zh-CN"/>
                    </w:rPr>
                  </w:pPr>
                  <w:r>
                    <w:rPr>
                      <w:rFonts w:hint="eastAsia"/>
                      <w:color w:val="auto"/>
                      <w:highlight w:val="none"/>
                      <w:lang w:val="en-US" w:eastAsia="zh-CN"/>
                    </w:rPr>
                    <w:t>危险废物</w:t>
                  </w:r>
                </w:p>
              </w:tc>
              <w:tc>
                <w:tcPr>
                  <w:tcW w:w="604" w:type="pct"/>
                  <w:shd w:val="clear" w:color="auto" w:fill="auto"/>
                  <w:vAlign w:val="center"/>
                </w:tcPr>
                <w:p w14:paraId="6832C6FA">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测试检验</w:t>
                  </w:r>
                </w:p>
              </w:tc>
              <w:tc>
                <w:tcPr>
                  <w:tcW w:w="218" w:type="pct"/>
                  <w:shd w:val="clear" w:color="auto" w:fill="auto"/>
                  <w:vAlign w:val="center"/>
                </w:tcPr>
                <w:p w14:paraId="4BDA197C">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液</w:t>
                  </w:r>
                </w:p>
              </w:tc>
              <w:tc>
                <w:tcPr>
                  <w:tcW w:w="636" w:type="pct"/>
                  <w:shd w:val="clear" w:color="auto" w:fill="auto"/>
                  <w:vAlign w:val="center"/>
                </w:tcPr>
                <w:p w14:paraId="73BF786D">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cs="Times New Roman"/>
                      <w:b w:val="0"/>
                      <w:bCs w:val="0"/>
                      <w:color w:val="auto"/>
                      <w:sz w:val="21"/>
                      <w:szCs w:val="21"/>
                      <w:highlight w:val="none"/>
                      <w:u w:val="none"/>
                      <w:lang w:val="en-US" w:eastAsia="zh-CN"/>
                    </w:rPr>
                    <w:t>电池废液</w:t>
                  </w:r>
                </w:p>
              </w:tc>
              <w:tc>
                <w:tcPr>
                  <w:tcW w:w="481" w:type="pct"/>
                  <w:vMerge w:val="continue"/>
                  <w:shd w:val="clear" w:color="auto" w:fill="auto"/>
                  <w:vAlign w:val="center"/>
                </w:tcPr>
                <w:p w14:paraId="429BF497">
                  <w:pPr>
                    <w:pStyle w:val="48"/>
                    <w:bidi w:val="0"/>
                    <w:ind w:firstLine="0" w:firstLineChars="0"/>
                    <w:rPr>
                      <w:rFonts w:hint="eastAsia"/>
                      <w:color w:val="auto"/>
                      <w:highlight w:val="none"/>
                      <w:lang w:val="en-US" w:eastAsia="zh-CN"/>
                    </w:rPr>
                  </w:pPr>
                </w:p>
              </w:tc>
              <w:tc>
                <w:tcPr>
                  <w:tcW w:w="299" w:type="pct"/>
                  <w:shd w:val="clear" w:color="auto" w:fill="auto"/>
                  <w:vAlign w:val="center"/>
                </w:tcPr>
                <w:p w14:paraId="1FC71481">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T</w:t>
                  </w:r>
                  <w:r>
                    <w:rPr>
                      <w:rFonts w:hint="eastAsia" w:cs="Times New Roman"/>
                      <w:color w:val="auto"/>
                      <w:kern w:val="0"/>
                      <w:sz w:val="21"/>
                      <w:szCs w:val="24"/>
                      <w:highlight w:val="none"/>
                      <w:lang w:val="en-US" w:eastAsia="zh-CN" w:bidi="ar-SA"/>
                    </w:rPr>
                    <w:t>/C/I/R</w:t>
                  </w:r>
                </w:p>
              </w:tc>
              <w:tc>
                <w:tcPr>
                  <w:tcW w:w="345" w:type="pct"/>
                  <w:shd w:val="clear" w:color="auto" w:fill="auto"/>
                  <w:vAlign w:val="center"/>
                </w:tcPr>
                <w:p w14:paraId="3C7B32DB">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HW</w:t>
                  </w:r>
                  <w:r>
                    <w:rPr>
                      <w:rFonts w:hint="eastAsia" w:cs="Times New Roman"/>
                      <w:color w:val="auto"/>
                      <w:kern w:val="0"/>
                      <w:sz w:val="21"/>
                      <w:szCs w:val="24"/>
                      <w:highlight w:val="none"/>
                      <w:lang w:val="en-US" w:eastAsia="zh-CN" w:bidi="ar-SA"/>
                    </w:rPr>
                    <w:t>49</w:t>
                  </w:r>
                </w:p>
              </w:tc>
              <w:tc>
                <w:tcPr>
                  <w:tcW w:w="557" w:type="pct"/>
                  <w:shd w:val="clear" w:color="auto" w:fill="auto"/>
                  <w:vAlign w:val="center"/>
                </w:tcPr>
                <w:p w14:paraId="7AB11514">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900-0</w:t>
                  </w:r>
                  <w:r>
                    <w:rPr>
                      <w:rFonts w:hint="eastAsia" w:cs="Times New Roman"/>
                      <w:color w:val="auto"/>
                      <w:kern w:val="0"/>
                      <w:sz w:val="21"/>
                      <w:szCs w:val="24"/>
                      <w:highlight w:val="none"/>
                      <w:lang w:val="en-US" w:eastAsia="zh-CN" w:bidi="ar-SA"/>
                    </w:rPr>
                    <w:t>47-49</w:t>
                  </w:r>
                </w:p>
              </w:tc>
              <w:tc>
                <w:tcPr>
                  <w:tcW w:w="405" w:type="pct"/>
                  <w:shd w:val="clear" w:color="auto" w:fill="auto"/>
                  <w:vAlign w:val="center"/>
                </w:tcPr>
                <w:p w14:paraId="3367A863">
                  <w:pPr>
                    <w:pStyle w:val="48"/>
                    <w:ind w:firstLine="0" w:firstLineChars="0"/>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2.16</w:t>
                  </w:r>
                </w:p>
              </w:tc>
              <w:tc>
                <w:tcPr>
                  <w:tcW w:w="350" w:type="pct"/>
                  <w:vMerge w:val="restart"/>
                  <w:vAlign w:val="center"/>
                </w:tcPr>
                <w:p w14:paraId="3253E92C">
                  <w:pPr>
                    <w:pStyle w:val="48"/>
                    <w:ind w:firstLine="0" w:firstLineChars="0"/>
                    <w:rPr>
                      <w:rFonts w:hint="eastAsia" w:cs="Times New Roman"/>
                      <w:color w:val="auto"/>
                      <w:kern w:val="0"/>
                      <w:sz w:val="21"/>
                      <w:szCs w:val="24"/>
                      <w:highlight w:val="none"/>
                      <w:lang w:val="en-US" w:eastAsia="zh-CN" w:bidi="ar-SA"/>
                    </w:rPr>
                  </w:pPr>
                  <w:r>
                    <w:rPr>
                      <w:rFonts w:hint="eastAsia" w:cs="Times New Roman"/>
                      <w:b w:val="0"/>
                      <w:bCs w:val="0"/>
                      <w:color w:val="auto"/>
                      <w:sz w:val="21"/>
                      <w:szCs w:val="21"/>
                      <w:vertAlign w:val="baseline"/>
                      <w:lang w:val="en-US" w:eastAsia="zh-CN"/>
                    </w:rPr>
                    <w:t>危废贮存点</w:t>
                  </w:r>
                  <w:r>
                    <w:rPr>
                      <w:rFonts w:hint="default" w:ascii="Times New Roman" w:hAnsi="Times New Roman" w:cs="Times New Roman"/>
                      <w:b w:val="0"/>
                      <w:bCs w:val="0"/>
                      <w:color w:val="auto"/>
                      <w:sz w:val="21"/>
                      <w:szCs w:val="21"/>
                      <w:vertAlign w:val="baseline"/>
                      <w:lang w:val="en-US" w:eastAsia="zh-CN"/>
                    </w:rPr>
                    <w:t>暂存</w:t>
                  </w:r>
                  <w:r>
                    <w:rPr>
                      <w:rFonts w:hint="eastAsia" w:cs="Times New Roman"/>
                      <w:b w:val="0"/>
                      <w:bCs w:val="0"/>
                      <w:color w:val="auto"/>
                      <w:sz w:val="21"/>
                      <w:szCs w:val="21"/>
                      <w:vertAlign w:val="baseline"/>
                      <w:lang w:val="en-US" w:eastAsia="zh-CN"/>
                    </w:rPr>
                    <w:t>，</w:t>
                  </w:r>
                  <w:r>
                    <w:rPr>
                      <w:rFonts w:hint="eastAsia"/>
                      <w:color w:val="auto"/>
                      <w:lang w:val="en-US" w:eastAsia="zh-CN"/>
                    </w:rPr>
                    <w:t>合规处置</w:t>
                  </w:r>
                </w:p>
              </w:tc>
            </w:tr>
            <w:tr w14:paraId="6C41A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0" w:type="pct"/>
                  <w:vAlign w:val="center"/>
                </w:tcPr>
                <w:p w14:paraId="6E2D874C">
                  <w:pPr>
                    <w:pStyle w:val="48"/>
                    <w:numPr>
                      <w:ilvl w:val="0"/>
                      <w:numId w:val="23"/>
                    </w:numPr>
                    <w:rPr>
                      <w:rFonts w:hint="eastAsia" w:ascii="Times New Roman" w:hAnsi="Times New Roman" w:eastAsia="宋体" w:cs="Times New Roman"/>
                      <w:color w:val="auto"/>
                      <w:highlight w:val="none"/>
                    </w:rPr>
                  </w:pPr>
                </w:p>
              </w:tc>
              <w:tc>
                <w:tcPr>
                  <w:tcW w:w="623" w:type="pct"/>
                  <w:shd w:val="clear" w:color="auto" w:fill="auto"/>
                  <w:vAlign w:val="center"/>
                </w:tcPr>
                <w:p w14:paraId="79C8768E">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消防废液</w:t>
                  </w:r>
                </w:p>
              </w:tc>
              <w:tc>
                <w:tcPr>
                  <w:tcW w:w="277" w:type="pct"/>
                  <w:vMerge w:val="continue"/>
                  <w:shd w:val="clear" w:color="auto" w:fill="auto"/>
                  <w:vAlign w:val="center"/>
                </w:tcPr>
                <w:p w14:paraId="132E935B">
                  <w:pPr>
                    <w:pStyle w:val="48"/>
                    <w:bidi w:val="0"/>
                    <w:ind w:firstLine="0" w:firstLineChars="0"/>
                    <w:rPr>
                      <w:rFonts w:hint="eastAsia"/>
                      <w:color w:val="auto"/>
                      <w:highlight w:val="none"/>
                      <w:lang w:val="en-US" w:eastAsia="zh-CN"/>
                    </w:rPr>
                  </w:pPr>
                </w:p>
              </w:tc>
              <w:tc>
                <w:tcPr>
                  <w:tcW w:w="604" w:type="pct"/>
                  <w:shd w:val="clear" w:color="auto" w:fill="auto"/>
                  <w:vAlign w:val="center"/>
                </w:tcPr>
                <w:p w14:paraId="5F11BB98">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测试检验</w:t>
                  </w:r>
                </w:p>
              </w:tc>
              <w:tc>
                <w:tcPr>
                  <w:tcW w:w="218" w:type="pct"/>
                  <w:shd w:val="clear" w:color="auto" w:fill="auto"/>
                  <w:vAlign w:val="center"/>
                </w:tcPr>
                <w:p w14:paraId="508C6E80">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color w:val="auto"/>
                      <w:highlight w:val="none"/>
                      <w:lang w:val="en-US" w:eastAsia="zh-CN"/>
                    </w:rPr>
                  </w:pPr>
                  <w:r>
                    <w:rPr>
                      <w:rFonts w:hint="eastAsia"/>
                      <w:color w:val="auto"/>
                      <w:sz w:val="21"/>
                      <w:szCs w:val="21"/>
                      <w:highlight w:val="none"/>
                      <w:lang w:val="en-US" w:eastAsia="zh-CN"/>
                    </w:rPr>
                    <w:t>液</w:t>
                  </w:r>
                </w:p>
              </w:tc>
              <w:tc>
                <w:tcPr>
                  <w:tcW w:w="636" w:type="pct"/>
                  <w:shd w:val="clear" w:color="auto" w:fill="auto"/>
                  <w:vAlign w:val="center"/>
                </w:tcPr>
                <w:p w14:paraId="61B1773B">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color w:val="auto"/>
                      <w:highlight w:val="none"/>
                      <w:lang w:val="en-US" w:eastAsia="zh-CN"/>
                    </w:rPr>
                  </w:pPr>
                  <w:r>
                    <w:rPr>
                      <w:rFonts w:hint="eastAsia" w:ascii="Times New Roman" w:hAnsi="Times New Roman" w:cs="Times New Roman"/>
                      <w:b w:val="0"/>
                      <w:bCs w:val="0"/>
                      <w:color w:val="auto"/>
                      <w:sz w:val="21"/>
                      <w:szCs w:val="21"/>
                      <w:highlight w:val="none"/>
                      <w:u w:val="none"/>
                      <w:lang w:val="en-US" w:eastAsia="zh-CN"/>
                    </w:rPr>
                    <w:t>消防废液</w:t>
                  </w:r>
                </w:p>
              </w:tc>
              <w:tc>
                <w:tcPr>
                  <w:tcW w:w="481" w:type="pct"/>
                  <w:vMerge w:val="continue"/>
                  <w:shd w:val="clear" w:color="auto" w:fill="auto"/>
                  <w:vAlign w:val="center"/>
                </w:tcPr>
                <w:p w14:paraId="35F6EFED">
                  <w:pPr>
                    <w:pStyle w:val="48"/>
                    <w:bidi w:val="0"/>
                    <w:ind w:firstLine="0" w:firstLineChars="0"/>
                    <w:rPr>
                      <w:rFonts w:hint="eastAsia"/>
                      <w:color w:val="auto"/>
                      <w:highlight w:val="none"/>
                      <w:lang w:val="en-US" w:eastAsia="zh-CN"/>
                    </w:rPr>
                  </w:pPr>
                </w:p>
              </w:tc>
              <w:tc>
                <w:tcPr>
                  <w:tcW w:w="299" w:type="pct"/>
                  <w:shd w:val="clear" w:color="auto" w:fill="auto"/>
                  <w:vAlign w:val="center"/>
                </w:tcPr>
                <w:p w14:paraId="4D9C5200">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T</w:t>
                  </w:r>
                  <w:r>
                    <w:rPr>
                      <w:rFonts w:hint="eastAsia" w:cs="Times New Roman"/>
                      <w:color w:val="auto"/>
                      <w:kern w:val="0"/>
                      <w:sz w:val="21"/>
                      <w:szCs w:val="24"/>
                      <w:highlight w:val="none"/>
                      <w:lang w:val="en-US" w:eastAsia="zh-CN" w:bidi="ar-SA"/>
                    </w:rPr>
                    <w:t>/C/I/R</w:t>
                  </w:r>
                </w:p>
              </w:tc>
              <w:tc>
                <w:tcPr>
                  <w:tcW w:w="345" w:type="pct"/>
                  <w:shd w:val="clear" w:color="auto" w:fill="auto"/>
                  <w:vAlign w:val="center"/>
                </w:tcPr>
                <w:p w14:paraId="6E41395B">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HW</w:t>
                  </w:r>
                  <w:r>
                    <w:rPr>
                      <w:rFonts w:hint="eastAsia" w:cs="Times New Roman"/>
                      <w:color w:val="auto"/>
                      <w:kern w:val="0"/>
                      <w:sz w:val="21"/>
                      <w:szCs w:val="24"/>
                      <w:highlight w:val="none"/>
                      <w:lang w:val="en-US" w:eastAsia="zh-CN" w:bidi="ar-SA"/>
                    </w:rPr>
                    <w:t>49</w:t>
                  </w:r>
                </w:p>
              </w:tc>
              <w:tc>
                <w:tcPr>
                  <w:tcW w:w="557" w:type="pct"/>
                  <w:shd w:val="clear" w:color="auto" w:fill="auto"/>
                  <w:vAlign w:val="center"/>
                </w:tcPr>
                <w:p w14:paraId="264F357C">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900-0</w:t>
                  </w:r>
                  <w:r>
                    <w:rPr>
                      <w:rFonts w:hint="eastAsia" w:cs="Times New Roman"/>
                      <w:color w:val="auto"/>
                      <w:kern w:val="0"/>
                      <w:sz w:val="21"/>
                      <w:szCs w:val="24"/>
                      <w:highlight w:val="none"/>
                      <w:lang w:val="en-US" w:eastAsia="zh-CN" w:bidi="ar-SA"/>
                    </w:rPr>
                    <w:t>47-49</w:t>
                  </w:r>
                </w:p>
              </w:tc>
              <w:tc>
                <w:tcPr>
                  <w:tcW w:w="405" w:type="pct"/>
                  <w:shd w:val="clear" w:color="auto" w:fill="auto"/>
                  <w:vAlign w:val="center"/>
                </w:tcPr>
                <w:p w14:paraId="6B487DA1">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0.006</w:t>
                  </w:r>
                </w:p>
              </w:tc>
              <w:tc>
                <w:tcPr>
                  <w:tcW w:w="350" w:type="pct"/>
                  <w:vMerge w:val="continue"/>
                  <w:vAlign w:val="center"/>
                </w:tcPr>
                <w:p w14:paraId="497C6916">
                  <w:pPr>
                    <w:pStyle w:val="48"/>
                    <w:ind w:firstLine="0" w:firstLineChars="0"/>
                    <w:rPr>
                      <w:rFonts w:hint="eastAsia" w:cs="Times New Roman"/>
                      <w:b w:val="0"/>
                      <w:bCs w:val="0"/>
                      <w:color w:val="auto"/>
                      <w:sz w:val="21"/>
                      <w:szCs w:val="21"/>
                      <w:vertAlign w:val="baseline"/>
                      <w:lang w:val="en-US" w:eastAsia="zh-CN"/>
                    </w:rPr>
                  </w:pPr>
                </w:p>
              </w:tc>
            </w:tr>
          </w:tbl>
          <w:p w14:paraId="53245129">
            <w:pPr>
              <w:pStyle w:val="48"/>
              <w:bidi w:val="0"/>
              <w:rPr>
                <w:rFonts w:hint="default"/>
                <w:color w:val="auto"/>
                <w:highlight w:val="none"/>
              </w:rPr>
            </w:pPr>
          </w:p>
          <w:p w14:paraId="0AFB5E51">
            <w:pPr>
              <w:pStyle w:val="48"/>
              <w:bidi w:val="0"/>
              <w:rPr>
                <w:rFonts w:hint="default"/>
                <w:color w:val="auto"/>
                <w:highlight w:val="none"/>
              </w:rPr>
            </w:pPr>
          </w:p>
          <w:p w14:paraId="4D67D93E">
            <w:pPr>
              <w:pStyle w:val="48"/>
              <w:bidi w:val="0"/>
              <w:rPr>
                <w:rFonts w:hint="default"/>
                <w:color w:val="auto"/>
                <w:highlight w:val="none"/>
              </w:rPr>
            </w:pPr>
          </w:p>
          <w:p w14:paraId="1A6FACE7">
            <w:pPr>
              <w:pStyle w:val="48"/>
              <w:bidi w:val="0"/>
              <w:rPr>
                <w:rFonts w:hint="default"/>
                <w:color w:val="auto"/>
                <w:highlight w:val="none"/>
              </w:rPr>
            </w:pPr>
          </w:p>
          <w:p w14:paraId="32734670">
            <w:pPr>
              <w:pStyle w:val="48"/>
              <w:bidi w:val="0"/>
              <w:rPr>
                <w:rFonts w:hint="default"/>
                <w:color w:val="auto"/>
                <w:highlight w:val="none"/>
              </w:rPr>
            </w:pPr>
          </w:p>
          <w:p w14:paraId="446DEADE">
            <w:pPr>
              <w:pStyle w:val="48"/>
              <w:bidi w:val="0"/>
              <w:rPr>
                <w:rFonts w:hint="default"/>
                <w:color w:val="auto"/>
                <w:highlight w:val="none"/>
              </w:rPr>
            </w:pPr>
          </w:p>
          <w:p w14:paraId="6CAEEFE1">
            <w:pPr>
              <w:pStyle w:val="48"/>
              <w:bidi w:val="0"/>
              <w:rPr>
                <w:rFonts w:hint="default"/>
                <w:color w:val="auto"/>
                <w:highlight w:val="none"/>
              </w:rPr>
            </w:pPr>
          </w:p>
          <w:p w14:paraId="4E5C850F">
            <w:pPr>
              <w:pStyle w:val="48"/>
              <w:bidi w:val="0"/>
              <w:rPr>
                <w:rFonts w:hint="default"/>
                <w:color w:val="auto"/>
                <w:highlight w:val="none"/>
              </w:rPr>
            </w:pPr>
          </w:p>
          <w:p w14:paraId="49A31598">
            <w:pPr>
              <w:pStyle w:val="48"/>
              <w:bidi w:val="0"/>
              <w:rPr>
                <w:rFonts w:hint="default"/>
                <w:color w:val="auto"/>
                <w:highlight w:val="none"/>
              </w:rPr>
            </w:pPr>
          </w:p>
          <w:p w14:paraId="48D8E5FD">
            <w:pPr>
              <w:pStyle w:val="48"/>
              <w:bidi w:val="0"/>
              <w:rPr>
                <w:rFonts w:hint="default"/>
                <w:color w:val="auto"/>
                <w:highlight w:val="none"/>
              </w:rPr>
            </w:pPr>
          </w:p>
          <w:p w14:paraId="038F86D6">
            <w:pPr>
              <w:pStyle w:val="48"/>
              <w:bidi w:val="0"/>
              <w:rPr>
                <w:rFonts w:hint="default"/>
                <w:color w:val="auto"/>
                <w:highlight w:val="none"/>
              </w:rPr>
            </w:pPr>
          </w:p>
          <w:p w14:paraId="31B64028">
            <w:pPr>
              <w:pStyle w:val="48"/>
              <w:bidi w:val="0"/>
              <w:rPr>
                <w:rFonts w:hint="default"/>
                <w:color w:val="auto"/>
                <w:highlight w:val="none"/>
              </w:rPr>
            </w:pPr>
          </w:p>
          <w:p w14:paraId="0A3C603F">
            <w:pPr>
              <w:pStyle w:val="48"/>
              <w:bidi w:val="0"/>
              <w:rPr>
                <w:rFonts w:hint="default"/>
                <w:color w:val="auto"/>
                <w:highlight w:val="none"/>
              </w:rPr>
            </w:pPr>
          </w:p>
          <w:p w14:paraId="669F980C">
            <w:pPr>
              <w:pStyle w:val="48"/>
              <w:bidi w:val="0"/>
              <w:rPr>
                <w:rFonts w:hint="default"/>
                <w:color w:val="auto"/>
                <w:highlight w:val="none"/>
              </w:rPr>
            </w:pPr>
          </w:p>
          <w:p w14:paraId="56B27493">
            <w:pPr>
              <w:pStyle w:val="48"/>
              <w:bidi w:val="0"/>
              <w:rPr>
                <w:rFonts w:hint="default"/>
                <w:color w:val="auto"/>
                <w:highlight w:val="none"/>
              </w:rPr>
            </w:pPr>
          </w:p>
          <w:p w14:paraId="2EBFF342">
            <w:pPr>
              <w:pStyle w:val="48"/>
              <w:bidi w:val="0"/>
              <w:rPr>
                <w:rFonts w:hint="default"/>
                <w:color w:val="auto"/>
                <w:highlight w:val="none"/>
              </w:rPr>
            </w:pPr>
          </w:p>
          <w:p w14:paraId="68CB53AB">
            <w:pPr>
              <w:pStyle w:val="48"/>
              <w:bidi w:val="0"/>
              <w:rPr>
                <w:rFonts w:hint="default"/>
                <w:color w:val="auto"/>
                <w:highlight w:val="none"/>
              </w:rPr>
            </w:pPr>
          </w:p>
          <w:p w14:paraId="60CFE997">
            <w:pPr>
              <w:pStyle w:val="48"/>
              <w:bidi w:val="0"/>
              <w:rPr>
                <w:rFonts w:hint="default"/>
                <w:color w:val="auto"/>
                <w:highlight w:val="none"/>
              </w:rPr>
            </w:pPr>
          </w:p>
        </w:tc>
      </w:tr>
    </w:tbl>
    <w:p w14:paraId="523BBC78">
      <w:pPr>
        <w:bidi w:val="0"/>
        <w:ind w:left="0" w:leftChars="0" w:firstLine="0" w:firstLineChars="0"/>
        <w:rPr>
          <w:rStyle w:val="47"/>
          <w:rFonts w:hint="default" w:ascii="Times New Roman" w:hAnsi="Times New Roman" w:eastAsia="黑体"/>
          <w:color w:val="auto"/>
          <w:sz w:val="30"/>
          <w:szCs w:val="30"/>
          <w:highlight w:val="none"/>
        </w:rPr>
        <w:sectPr>
          <w:pgSz w:w="16840" w:h="11907" w:orient="landscape"/>
          <w:pgMar w:top="1531" w:right="1701" w:bottom="1531" w:left="2126" w:header="851" w:footer="850" w:gutter="0"/>
          <w:pgBorders>
            <w:top w:val="none" w:sz="0" w:space="0"/>
            <w:left w:val="none" w:sz="0" w:space="0"/>
            <w:bottom w:val="none" w:sz="0" w:space="0"/>
            <w:right w:val="none" w:sz="0" w:space="0"/>
          </w:pgBorders>
          <w:pgNumType w:fmt="decimal"/>
          <w:cols w:space="0" w:num="1"/>
          <w:rtlGutter w:val="0"/>
          <w:docGrid w:linePitch="312" w:charSpace="0"/>
        </w:sectPr>
      </w:pPr>
      <w:bookmarkStart w:id="163" w:name="pindex2222"/>
      <w:bookmarkEnd w:id="163"/>
    </w:p>
    <w:tbl>
      <w:tblPr>
        <w:tblStyle w:val="33"/>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7"/>
        <w:gridCol w:w="8674"/>
      </w:tblGrid>
      <w:tr w14:paraId="620AC9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76" w:hRule="atLeast"/>
          <w:jc w:val="center"/>
        </w:trPr>
        <w:tc>
          <w:tcPr>
            <w:tcW w:w="307" w:type="dxa"/>
            <w:tcMar>
              <w:left w:w="28" w:type="dxa"/>
              <w:right w:w="28" w:type="dxa"/>
            </w:tcMar>
            <w:vAlign w:val="center"/>
          </w:tcPr>
          <w:p w14:paraId="5349C1D9">
            <w:pPr>
              <w:adjustRightInd w:val="0"/>
              <w:snapToGrid w:val="0"/>
              <w:spacing w:line="240" w:lineRule="auto"/>
              <w:ind w:firstLine="0" w:firstLineChars="0"/>
              <w:jc w:val="center"/>
              <w:rPr>
                <w:b/>
                <w:bCs/>
                <w:color w:val="auto"/>
                <w:kern w:val="0"/>
                <w:highlight w:val="none"/>
              </w:rPr>
            </w:pPr>
            <w:r>
              <w:rPr>
                <w:b/>
                <w:bCs/>
                <w:color w:val="auto"/>
                <w:kern w:val="0"/>
                <w:highlight w:val="none"/>
              </w:rPr>
              <w:t>运营期环境影响和保护措施</w:t>
            </w:r>
          </w:p>
        </w:tc>
        <w:tc>
          <w:tcPr>
            <w:tcW w:w="8674" w:type="dxa"/>
            <w:vAlign w:val="center"/>
          </w:tcPr>
          <w:p w14:paraId="6964024F">
            <w:pPr>
              <w:pStyle w:val="52"/>
              <w:bidi w:val="0"/>
              <w:ind w:left="5518" w:leftChars="0" w:hanging="5518" w:firstLineChars="0"/>
              <w:rPr>
                <w:color w:val="auto"/>
                <w:highlight w:val="none"/>
              </w:rPr>
            </w:pPr>
            <w:r>
              <w:rPr>
                <w:rFonts w:hint="eastAsia"/>
                <w:color w:val="auto"/>
                <w:highlight w:val="none"/>
              </w:rPr>
              <w:t>本项目</w:t>
            </w:r>
            <w:r>
              <w:rPr>
                <w:color w:val="auto"/>
                <w:highlight w:val="none"/>
              </w:rPr>
              <w:t>危险废物汇总表（t/a）</w:t>
            </w:r>
          </w:p>
          <w:tbl>
            <w:tblPr>
              <w:tblStyle w:val="33"/>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949"/>
              <w:gridCol w:w="819"/>
              <w:gridCol w:w="1077"/>
              <w:gridCol w:w="709"/>
              <w:gridCol w:w="886"/>
              <w:gridCol w:w="440"/>
              <w:gridCol w:w="1025"/>
              <w:gridCol w:w="909"/>
              <w:gridCol w:w="840"/>
              <w:gridCol w:w="796"/>
            </w:tblGrid>
            <w:tr w14:paraId="1B3DC0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0" w:hRule="atLeast"/>
                <w:jc w:val="center"/>
              </w:trPr>
              <w:tc>
                <w:tcPr>
                  <w:tcW w:w="561" w:type="pct"/>
                  <w:vAlign w:val="center"/>
                </w:tcPr>
                <w:p w14:paraId="471E2C03">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危险废物名称</w:t>
                  </w:r>
                </w:p>
              </w:tc>
              <w:tc>
                <w:tcPr>
                  <w:tcW w:w="484" w:type="pct"/>
                  <w:vAlign w:val="center"/>
                </w:tcPr>
                <w:p w14:paraId="2DEE7AD2">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危险废物类别</w:t>
                  </w:r>
                </w:p>
              </w:tc>
              <w:tc>
                <w:tcPr>
                  <w:tcW w:w="637" w:type="pct"/>
                  <w:vAlign w:val="center"/>
                </w:tcPr>
                <w:p w14:paraId="79620B53">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废物代码</w:t>
                  </w:r>
                </w:p>
              </w:tc>
              <w:tc>
                <w:tcPr>
                  <w:tcW w:w="419" w:type="pct"/>
                  <w:vAlign w:val="center"/>
                </w:tcPr>
                <w:p w14:paraId="7A0F6108">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产生量（t/a）</w:t>
                  </w:r>
                </w:p>
              </w:tc>
              <w:tc>
                <w:tcPr>
                  <w:tcW w:w="524" w:type="pct"/>
                  <w:vAlign w:val="center"/>
                </w:tcPr>
                <w:p w14:paraId="20A9111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产生工序</w:t>
                  </w:r>
                </w:p>
              </w:tc>
              <w:tc>
                <w:tcPr>
                  <w:tcW w:w="260" w:type="pct"/>
                  <w:vAlign w:val="center"/>
                </w:tcPr>
                <w:p w14:paraId="7E413B7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形态</w:t>
                  </w:r>
                </w:p>
              </w:tc>
              <w:tc>
                <w:tcPr>
                  <w:tcW w:w="606" w:type="pct"/>
                  <w:vAlign w:val="center"/>
                </w:tcPr>
                <w:p w14:paraId="47F15C6C">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主要成分</w:t>
                  </w:r>
                </w:p>
              </w:tc>
              <w:tc>
                <w:tcPr>
                  <w:tcW w:w="537" w:type="pct"/>
                  <w:tcBorders>
                    <w:right w:val="single" w:color="auto" w:sz="4" w:space="0"/>
                  </w:tcBorders>
                  <w:vAlign w:val="center"/>
                </w:tcPr>
                <w:p w14:paraId="49691D9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产废周期</w:t>
                  </w:r>
                </w:p>
              </w:tc>
              <w:tc>
                <w:tcPr>
                  <w:tcW w:w="497" w:type="pct"/>
                  <w:tcBorders>
                    <w:left w:val="single" w:color="auto" w:sz="4" w:space="0"/>
                  </w:tcBorders>
                  <w:vAlign w:val="center"/>
                </w:tcPr>
                <w:p w14:paraId="76006BC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危险特性</w:t>
                  </w:r>
                </w:p>
              </w:tc>
              <w:tc>
                <w:tcPr>
                  <w:tcW w:w="471" w:type="pct"/>
                  <w:tcBorders>
                    <w:left w:val="single" w:color="auto" w:sz="4" w:space="0"/>
                  </w:tcBorders>
                  <w:vAlign w:val="center"/>
                </w:tcPr>
                <w:p w14:paraId="06CF583A">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b/>
                      <w:bCs/>
                      <w:color w:val="auto"/>
                      <w:sz w:val="21"/>
                      <w:szCs w:val="21"/>
                      <w:highlight w:val="none"/>
                    </w:rPr>
                  </w:pPr>
                  <w:r>
                    <w:rPr>
                      <w:b/>
                      <w:bCs/>
                      <w:color w:val="auto"/>
                      <w:sz w:val="21"/>
                      <w:szCs w:val="21"/>
                      <w:highlight w:val="none"/>
                    </w:rPr>
                    <w:t>污染防治措施</w:t>
                  </w:r>
                </w:p>
              </w:tc>
            </w:tr>
            <w:tr w14:paraId="2D6ECC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0" w:hRule="atLeast"/>
                <w:jc w:val="center"/>
              </w:trPr>
              <w:tc>
                <w:tcPr>
                  <w:tcW w:w="561" w:type="pct"/>
                  <w:shd w:val="clear" w:color="auto" w:fill="auto"/>
                  <w:vAlign w:val="center"/>
                </w:tcPr>
                <w:p w14:paraId="784D6789">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highlight w:val="none"/>
                      <w:lang w:val="en-US" w:eastAsia="zh-CN"/>
                    </w:rPr>
                    <w:t>泡电池废液</w:t>
                  </w:r>
                </w:p>
              </w:tc>
              <w:tc>
                <w:tcPr>
                  <w:tcW w:w="484" w:type="pct"/>
                  <w:shd w:val="clear" w:color="auto" w:fill="auto"/>
                  <w:vAlign w:val="center"/>
                </w:tcPr>
                <w:p w14:paraId="56EFDA63">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HW</w:t>
                  </w:r>
                  <w:r>
                    <w:rPr>
                      <w:rFonts w:hint="eastAsia" w:cs="Times New Roman"/>
                      <w:color w:val="auto"/>
                      <w:kern w:val="0"/>
                      <w:sz w:val="21"/>
                      <w:szCs w:val="24"/>
                      <w:highlight w:val="none"/>
                      <w:lang w:val="en-US" w:eastAsia="zh-CN" w:bidi="ar-SA"/>
                    </w:rPr>
                    <w:t>49</w:t>
                  </w:r>
                </w:p>
              </w:tc>
              <w:tc>
                <w:tcPr>
                  <w:tcW w:w="637" w:type="pct"/>
                  <w:shd w:val="clear" w:color="auto" w:fill="auto"/>
                  <w:vAlign w:val="center"/>
                </w:tcPr>
                <w:p w14:paraId="5981D80B">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900-0</w:t>
                  </w:r>
                  <w:r>
                    <w:rPr>
                      <w:rFonts w:hint="eastAsia" w:cs="Times New Roman"/>
                      <w:color w:val="auto"/>
                      <w:kern w:val="0"/>
                      <w:sz w:val="21"/>
                      <w:szCs w:val="24"/>
                      <w:highlight w:val="none"/>
                      <w:lang w:val="en-US" w:eastAsia="zh-CN" w:bidi="ar-SA"/>
                    </w:rPr>
                    <w:t>47-49</w:t>
                  </w:r>
                </w:p>
              </w:tc>
              <w:tc>
                <w:tcPr>
                  <w:tcW w:w="419" w:type="pct"/>
                  <w:shd w:val="clear" w:color="auto" w:fill="auto"/>
                  <w:vAlign w:val="center"/>
                </w:tcPr>
                <w:p w14:paraId="7B3E0FB1">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4"/>
                      <w:highlight w:val="none"/>
                      <w:lang w:val="en-US" w:eastAsia="zh-CN" w:bidi="ar-SA"/>
                    </w:rPr>
                    <w:t>2.16</w:t>
                  </w:r>
                </w:p>
              </w:tc>
              <w:tc>
                <w:tcPr>
                  <w:tcW w:w="524" w:type="pct"/>
                  <w:shd w:val="clear" w:color="auto" w:fill="auto"/>
                  <w:vAlign w:val="center"/>
                </w:tcPr>
                <w:p w14:paraId="76675804">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测试检验</w:t>
                  </w:r>
                </w:p>
              </w:tc>
              <w:tc>
                <w:tcPr>
                  <w:tcW w:w="260" w:type="pct"/>
                  <w:shd w:val="clear" w:color="auto" w:fill="auto"/>
                  <w:vAlign w:val="center"/>
                </w:tcPr>
                <w:p w14:paraId="1E6745C3">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液</w:t>
                  </w:r>
                </w:p>
              </w:tc>
              <w:tc>
                <w:tcPr>
                  <w:tcW w:w="606" w:type="pct"/>
                  <w:shd w:val="clear" w:color="auto" w:fill="auto"/>
                  <w:vAlign w:val="center"/>
                </w:tcPr>
                <w:p w14:paraId="3C5838DC">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cs="Times New Roman"/>
                      <w:b w:val="0"/>
                      <w:bCs w:val="0"/>
                      <w:color w:val="auto"/>
                      <w:sz w:val="21"/>
                      <w:szCs w:val="21"/>
                      <w:highlight w:val="none"/>
                      <w:u w:val="none"/>
                      <w:lang w:val="en-US" w:eastAsia="zh-CN"/>
                    </w:rPr>
                    <w:t>电池废液</w:t>
                  </w:r>
                </w:p>
              </w:tc>
              <w:tc>
                <w:tcPr>
                  <w:tcW w:w="537" w:type="pct"/>
                  <w:shd w:val="clear" w:color="auto" w:fill="auto"/>
                  <w:vAlign w:val="center"/>
                </w:tcPr>
                <w:p w14:paraId="1571E001">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每天</w:t>
                  </w:r>
                </w:p>
              </w:tc>
              <w:tc>
                <w:tcPr>
                  <w:tcW w:w="840" w:type="dxa"/>
                  <w:shd w:val="clear" w:color="auto" w:fill="auto"/>
                  <w:vAlign w:val="center"/>
                </w:tcPr>
                <w:p w14:paraId="1F1FE42D">
                  <w:pPr>
                    <w:pStyle w:val="48"/>
                    <w:ind w:firstLine="0" w:firstLineChars="0"/>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T</w:t>
                  </w:r>
                  <w:r>
                    <w:rPr>
                      <w:rFonts w:hint="eastAsia" w:cs="Times New Roman"/>
                      <w:color w:val="auto"/>
                      <w:kern w:val="0"/>
                      <w:sz w:val="21"/>
                      <w:szCs w:val="24"/>
                      <w:highlight w:val="none"/>
                      <w:lang w:val="en-US" w:eastAsia="zh-CN" w:bidi="ar-SA"/>
                    </w:rPr>
                    <w:t>/C/I/R</w:t>
                  </w:r>
                </w:p>
              </w:tc>
              <w:tc>
                <w:tcPr>
                  <w:tcW w:w="471" w:type="pct"/>
                  <w:vMerge w:val="restart"/>
                  <w:tcBorders>
                    <w:left w:val="single" w:color="auto" w:sz="4" w:space="0"/>
                  </w:tcBorders>
                  <w:vAlign w:val="center"/>
                </w:tcPr>
                <w:p w14:paraId="29CEDCEB">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rFonts w:hint="default" w:eastAsia="宋体"/>
                      <w:color w:val="auto"/>
                      <w:sz w:val="21"/>
                      <w:szCs w:val="21"/>
                      <w:highlight w:val="none"/>
                      <w:lang w:val="en-US" w:eastAsia="zh-CN"/>
                    </w:rPr>
                  </w:pPr>
                  <w:r>
                    <w:rPr>
                      <w:rFonts w:hint="eastAsia" w:ascii="Times New Roman" w:hAnsi="Times New Roman" w:cs="Times New Roman"/>
                      <w:b w:val="0"/>
                      <w:bCs w:val="0"/>
                      <w:color w:val="auto"/>
                      <w:sz w:val="21"/>
                      <w:szCs w:val="21"/>
                      <w:vertAlign w:val="baseline"/>
                      <w:lang w:val="en-US" w:eastAsia="zh-CN"/>
                    </w:rPr>
                    <w:t>合规处置</w:t>
                  </w:r>
                </w:p>
              </w:tc>
            </w:tr>
            <w:tr w14:paraId="4C87AD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0" w:hRule="atLeast"/>
                <w:jc w:val="center"/>
              </w:trPr>
              <w:tc>
                <w:tcPr>
                  <w:tcW w:w="561" w:type="pct"/>
                  <w:shd w:val="clear" w:color="auto" w:fill="auto"/>
                  <w:vAlign w:val="center"/>
                </w:tcPr>
                <w:p w14:paraId="1E81DBC6">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highlight w:val="none"/>
                      <w:lang w:val="en-US" w:eastAsia="zh-CN"/>
                    </w:rPr>
                    <w:t>消防废液</w:t>
                  </w:r>
                </w:p>
              </w:tc>
              <w:tc>
                <w:tcPr>
                  <w:tcW w:w="484" w:type="pct"/>
                  <w:shd w:val="clear" w:color="auto" w:fill="auto"/>
                  <w:vAlign w:val="center"/>
                </w:tcPr>
                <w:p w14:paraId="271FDD10">
                  <w:pPr>
                    <w:pStyle w:val="48"/>
                    <w:ind w:firstLine="0" w:firstLineChars="0"/>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HW</w:t>
                  </w:r>
                  <w:r>
                    <w:rPr>
                      <w:rFonts w:hint="eastAsia" w:cs="Times New Roman"/>
                      <w:color w:val="auto"/>
                      <w:kern w:val="0"/>
                      <w:sz w:val="21"/>
                      <w:szCs w:val="24"/>
                      <w:highlight w:val="none"/>
                      <w:lang w:val="en-US" w:eastAsia="zh-CN" w:bidi="ar-SA"/>
                    </w:rPr>
                    <w:t>49</w:t>
                  </w:r>
                </w:p>
              </w:tc>
              <w:tc>
                <w:tcPr>
                  <w:tcW w:w="637" w:type="pct"/>
                  <w:shd w:val="clear" w:color="auto" w:fill="auto"/>
                  <w:vAlign w:val="center"/>
                </w:tcPr>
                <w:p w14:paraId="7C787F86">
                  <w:pPr>
                    <w:pStyle w:val="48"/>
                    <w:ind w:firstLine="0" w:firstLineChars="0"/>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900-0</w:t>
                  </w:r>
                  <w:r>
                    <w:rPr>
                      <w:rFonts w:hint="eastAsia" w:cs="Times New Roman"/>
                      <w:color w:val="auto"/>
                      <w:kern w:val="0"/>
                      <w:sz w:val="21"/>
                      <w:szCs w:val="24"/>
                      <w:highlight w:val="none"/>
                      <w:lang w:val="en-US" w:eastAsia="zh-CN" w:bidi="ar-SA"/>
                    </w:rPr>
                    <w:t>47-49</w:t>
                  </w:r>
                </w:p>
              </w:tc>
              <w:tc>
                <w:tcPr>
                  <w:tcW w:w="419" w:type="pct"/>
                  <w:shd w:val="clear" w:color="auto" w:fill="auto"/>
                  <w:vAlign w:val="center"/>
                </w:tcPr>
                <w:p w14:paraId="1BB76379">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4"/>
                      <w:highlight w:val="none"/>
                      <w:lang w:val="en-US" w:eastAsia="zh-CN" w:bidi="ar-SA"/>
                    </w:rPr>
                    <w:t>0.006</w:t>
                  </w:r>
                </w:p>
              </w:tc>
              <w:tc>
                <w:tcPr>
                  <w:tcW w:w="524" w:type="pct"/>
                  <w:shd w:val="clear" w:color="auto" w:fill="auto"/>
                  <w:vAlign w:val="center"/>
                </w:tcPr>
                <w:p w14:paraId="423F5EDB">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测试检验</w:t>
                  </w:r>
                </w:p>
              </w:tc>
              <w:tc>
                <w:tcPr>
                  <w:tcW w:w="260" w:type="pct"/>
                  <w:shd w:val="clear" w:color="auto" w:fill="auto"/>
                  <w:vAlign w:val="center"/>
                </w:tcPr>
                <w:p w14:paraId="514E6E96">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液</w:t>
                  </w:r>
                </w:p>
              </w:tc>
              <w:tc>
                <w:tcPr>
                  <w:tcW w:w="606" w:type="pct"/>
                  <w:shd w:val="clear" w:color="auto" w:fill="auto"/>
                  <w:vAlign w:val="center"/>
                </w:tcPr>
                <w:p w14:paraId="31200D31">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Times New Roman"/>
                      <w:color w:val="auto"/>
                      <w:kern w:val="2"/>
                      <w:sz w:val="24"/>
                      <w:szCs w:val="24"/>
                      <w:highlight w:val="none"/>
                      <w:lang w:val="en-US" w:eastAsia="zh-CN" w:bidi="ar-SA"/>
                    </w:rPr>
                  </w:pPr>
                  <w:r>
                    <w:rPr>
                      <w:rFonts w:hint="eastAsia" w:ascii="Times New Roman" w:hAnsi="Times New Roman" w:cs="Times New Roman"/>
                      <w:b w:val="0"/>
                      <w:bCs w:val="0"/>
                      <w:color w:val="auto"/>
                      <w:sz w:val="21"/>
                      <w:szCs w:val="21"/>
                      <w:highlight w:val="none"/>
                      <w:u w:val="none"/>
                      <w:lang w:val="en-US" w:eastAsia="zh-CN"/>
                    </w:rPr>
                    <w:t>消防废液</w:t>
                  </w:r>
                </w:p>
              </w:tc>
              <w:tc>
                <w:tcPr>
                  <w:tcW w:w="537" w:type="pct"/>
                  <w:shd w:val="clear" w:color="auto" w:fill="auto"/>
                  <w:vAlign w:val="center"/>
                </w:tcPr>
                <w:p w14:paraId="0F55B2FC">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每天</w:t>
                  </w:r>
                </w:p>
              </w:tc>
              <w:tc>
                <w:tcPr>
                  <w:tcW w:w="840" w:type="dxa"/>
                  <w:shd w:val="clear" w:color="auto" w:fill="auto"/>
                  <w:vAlign w:val="center"/>
                </w:tcPr>
                <w:p w14:paraId="3FA653A5">
                  <w:pPr>
                    <w:pStyle w:val="48"/>
                    <w:ind w:firstLine="0" w:firstLineChars="0"/>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T</w:t>
                  </w:r>
                  <w:r>
                    <w:rPr>
                      <w:rFonts w:hint="eastAsia" w:cs="Times New Roman"/>
                      <w:color w:val="auto"/>
                      <w:kern w:val="0"/>
                      <w:sz w:val="21"/>
                      <w:szCs w:val="24"/>
                      <w:highlight w:val="none"/>
                      <w:lang w:val="en-US" w:eastAsia="zh-CN" w:bidi="ar-SA"/>
                    </w:rPr>
                    <w:t>/C/I/R</w:t>
                  </w:r>
                </w:p>
              </w:tc>
              <w:tc>
                <w:tcPr>
                  <w:tcW w:w="471" w:type="pct"/>
                  <w:vMerge w:val="continue"/>
                  <w:tcBorders>
                    <w:left w:val="single" w:color="auto" w:sz="4" w:space="0"/>
                  </w:tcBorders>
                  <w:vAlign w:val="center"/>
                </w:tcPr>
                <w:p w14:paraId="3514CE1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exact"/>
                    <w:textAlignment w:val="auto"/>
                    <w:rPr>
                      <w:rFonts w:hint="eastAsia"/>
                      <w:color w:val="auto"/>
                      <w:sz w:val="21"/>
                      <w:szCs w:val="21"/>
                      <w:highlight w:val="none"/>
                      <w:lang w:val="en-US" w:eastAsia="zh-CN"/>
                    </w:rPr>
                  </w:pPr>
                </w:p>
              </w:tc>
            </w:tr>
          </w:tbl>
          <w:p w14:paraId="15B49F23">
            <w:pPr>
              <w:bidi w:val="0"/>
              <w:rPr>
                <w:b/>
                <w:bCs/>
                <w:color w:val="auto"/>
                <w:highlight w:val="none"/>
              </w:rPr>
            </w:pPr>
            <w:r>
              <w:rPr>
                <w:b/>
                <w:bCs/>
                <w:color w:val="auto"/>
                <w:highlight w:val="none"/>
              </w:rPr>
              <w:t>（</w:t>
            </w:r>
            <w:r>
              <w:rPr>
                <w:rFonts w:hint="eastAsia"/>
                <w:b/>
                <w:bCs/>
                <w:color w:val="auto"/>
                <w:highlight w:val="none"/>
                <w:lang w:val="en-US" w:eastAsia="zh-CN"/>
              </w:rPr>
              <w:t>4</w:t>
            </w:r>
            <w:r>
              <w:rPr>
                <w:b/>
                <w:bCs/>
                <w:color w:val="auto"/>
                <w:highlight w:val="none"/>
              </w:rPr>
              <w:t>）</w:t>
            </w:r>
            <w:r>
              <w:rPr>
                <w:rFonts w:hint="eastAsia"/>
                <w:b/>
                <w:bCs/>
                <w:color w:val="auto"/>
                <w:highlight w:val="none"/>
              </w:rPr>
              <w:t>一般</w:t>
            </w:r>
            <w:r>
              <w:rPr>
                <w:b/>
                <w:bCs/>
                <w:color w:val="auto"/>
                <w:highlight w:val="none"/>
              </w:rPr>
              <w:t>固体废物环境影响分析</w:t>
            </w:r>
          </w:p>
          <w:p w14:paraId="5D2C90EB">
            <w:pPr>
              <w:bidi w:val="0"/>
              <w:rPr>
                <w:rFonts w:hint="default"/>
                <w:color w:val="auto"/>
                <w:highlight w:val="none"/>
              </w:rPr>
            </w:pPr>
            <w:r>
              <w:rPr>
                <w:rFonts w:hint="eastAsia"/>
                <w:color w:val="auto"/>
                <w:highlight w:val="none"/>
                <w:lang w:val="en-US" w:eastAsia="zh-CN"/>
              </w:rPr>
              <w:t>本项目设置5m</w:t>
            </w:r>
            <w:r>
              <w:rPr>
                <w:rFonts w:hint="eastAsia"/>
                <w:color w:val="auto"/>
                <w:highlight w:val="none"/>
                <w:vertAlign w:val="superscript"/>
                <w:lang w:val="en-US" w:eastAsia="zh-CN"/>
              </w:rPr>
              <w:t>2</w:t>
            </w:r>
            <w:r>
              <w:rPr>
                <w:rFonts w:hint="eastAsia"/>
                <w:color w:val="auto"/>
                <w:highlight w:val="none"/>
                <w:lang w:val="en-US" w:eastAsia="zh-CN"/>
              </w:rPr>
              <w:t>一般固废暂存库</w:t>
            </w:r>
            <w:r>
              <w:rPr>
                <w:rFonts w:hint="eastAsia"/>
                <w:color w:val="auto"/>
                <w:highlight w:val="none"/>
              </w:rPr>
              <w:t>，</w:t>
            </w:r>
            <w:r>
              <w:rPr>
                <w:color w:val="auto"/>
                <w:highlight w:val="none"/>
              </w:rPr>
              <w:t>最大储存能力约</w:t>
            </w:r>
            <w:r>
              <w:rPr>
                <w:rFonts w:hint="eastAsia"/>
                <w:color w:val="auto"/>
                <w:highlight w:val="none"/>
                <w:lang w:val="en-US" w:eastAsia="zh-CN"/>
              </w:rPr>
              <w:t>3</w:t>
            </w:r>
            <w:r>
              <w:rPr>
                <w:color w:val="auto"/>
                <w:highlight w:val="none"/>
              </w:rPr>
              <w:t>t</w:t>
            </w:r>
            <w:r>
              <w:rPr>
                <w:rFonts w:hint="eastAsia"/>
                <w:color w:val="auto"/>
                <w:highlight w:val="none"/>
                <w:lang w:eastAsia="zh-CN"/>
              </w:rPr>
              <w:t>，</w:t>
            </w:r>
            <w:r>
              <w:rPr>
                <w:rFonts w:hint="default" w:ascii="Times New Roman" w:hAnsi="Times New Roman" w:eastAsia="宋体" w:cs="Times New Roman"/>
                <w:color w:val="auto"/>
                <w:highlight w:val="none"/>
                <w:lang w:val="zh-CN"/>
              </w:rPr>
              <w:t>在定期清理的情况下，</w:t>
            </w:r>
            <w:r>
              <w:rPr>
                <w:rFonts w:hint="eastAsia"/>
                <w:color w:val="auto"/>
                <w:highlight w:val="none"/>
              </w:rPr>
              <w:t>可以满足企业正常生产情况的需求。</w:t>
            </w:r>
          </w:p>
          <w:p w14:paraId="18404EA6">
            <w:pPr>
              <w:bidi w:val="0"/>
              <w:rPr>
                <w:color w:val="auto"/>
                <w:highlight w:val="none"/>
              </w:rPr>
            </w:pPr>
            <w:r>
              <w:rPr>
                <w:rFonts w:hint="eastAsia"/>
                <w:color w:val="auto"/>
              </w:rPr>
              <w:t>一般固废暂存库</w:t>
            </w:r>
            <w:r>
              <w:rPr>
                <w:rFonts w:hint="eastAsia"/>
                <w:color w:val="auto"/>
                <w:lang w:val="en-US" w:eastAsia="zh-CN"/>
              </w:rPr>
              <w:t>应</w:t>
            </w:r>
            <w:r>
              <w:rPr>
                <w:rFonts w:hint="eastAsia"/>
                <w:color w:val="auto"/>
              </w:rPr>
              <w:t>满足相应</w:t>
            </w:r>
            <w:sdt>
              <w:sdtPr>
                <w:rPr>
                  <w:color w:val="auto"/>
                </w:rPr>
                <w:alias w:val="语法错误"/>
                <w:tag w:val="reviewtag_FF0000"/>
                <w:id w:val="2060355"/>
              </w:sdtPr>
              <w:sdtEndPr>
                <w:rPr>
                  <w:color w:val="auto"/>
                </w:rPr>
              </w:sdtEndPr>
              <w:sdtContent>
                <w:bookmarkStart w:id="164" w:name="bkReivew2060355"/>
                <w:r>
                  <w:rPr>
                    <w:rFonts w:hint="eastAsia"/>
                    <w:color w:val="auto"/>
                  </w:rPr>
                  <w:t>防渗</w:t>
                </w:r>
                <w:bookmarkEnd w:id="164"/>
              </w:sdtContent>
            </w:sdt>
            <w:r>
              <w:rPr>
                <w:rFonts w:hint="eastAsia"/>
                <w:color w:val="auto"/>
              </w:rPr>
              <w:t>漏、防雨淋、防扬尘等环境保护要求。</w:t>
            </w:r>
          </w:p>
          <w:p w14:paraId="7803ED0D">
            <w:pPr>
              <w:ind w:left="480" w:leftChars="200" w:firstLine="0" w:firstLineChars="0"/>
              <w:rPr>
                <w:b/>
                <w:bCs/>
                <w:color w:val="auto"/>
                <w:highlight w:val="none"/>
              </w:rPr>
            </w:pPr>
            <w:r>
              <w:rPr>
                <w:rFonts w:hint="eastAsia"/>
                <w:b/>
                <w:bCs/>
                <w:color w:val="auto"/>
                <w:highlight w:val="none"/>
              </w:rPr>
              <w:t>（</w:t>
            </w:r>
            <w:r>
              <w:rPr>
                <w:rFonts w:hint="eastAsia"/>
                <w:b/>
                <w:bCs/>
                <w:color w:val="auto"/>
                <w:highlight w:val="none"/>
                <w:lang w:val="en-US" w:eastAsia="zh-CN"/>
              </w:rPr>
              <w:t>5</w:t>
            </w:r>
            <w:r>
              <w:rPr>
                <w:rFonts w:hint="eastAsia"/>
                <w:b/>
                <w:bCs/>
                <w:color w:val="auto"/>
                <w:highlight w:val="none"/>
              </w:rPr>
              <w:t>）危废暂存间环境影响分析</w:t>
            </w:r>
          </w:p>
          <w:p w14:paraId="4F4A320D">
            <w:pPr>
              <w:ind w:firstLine="480"/>
              <w:rPr>
                <w:color w:val="auto"/>
                <w:highlight w:val="none"/>
              </w:rPr>
            </w:pPr>
            <w:r>
              <w:rPr>
                <w:rFonts w:hint="eastAsia"/>
                <w:color w:val="auto"/>
                <w:highlight w:val="none"/>
              </w:rPr>
              <w:t>本次评价</w:t>
            </w:r>
            <w:r>
              <w:rPr>
                <w:color w:val="auto"/>
                <w:highlight w:val="none"/>
              </w:rPr>
              <w:t>按照《建设项目危险废物环境影响评价指南》（2017年10</w:t>
            </w:r>
            <w:r>
              <w:rPr>
                <w:rFonts w:hint="eastAsia"/>
                <w:color w:val="auto"/>
                <w:highlight w:val="none"/>
                <w:lang w:eastAsia="zh-CN"/>
              </w:rPr>
              <w:t>月1日起实施</w:t>
            </w:r>
            <w:r>
              <w:rPr>
                <w:color w:val="auto"/>
                <w:highlight w:val="none"/>
              </w:rPr>
              <w:t>）要求进行本项目危险废物的环境影响分析。主要包括危险废物贮存场所（设施）环境影响分析、运输过程的环境影响分析、委托处置的环境影响分析三大方面。</w:t>
            </w:r>
          </w:p>
          <w:p w14:paraId="23622063">
            <w:pPr>
              <w:ind w:firstLine="482"/>
              <w:rPr>
                <w:b/>
                <w:bCs/>
                <w:color w:val="auto"/>
                <w:highlight w:val="none"/>
              </w:rPr>
            </w:pPr>
            <w:r>
              <w:rPr>
                <w:rFonts w:hint="eastAsia"/>
                <w:b/>
                <w:bCs/>
                <w:color w:val="auto"/>
                <w:highlight w:val="none"/>
              </w:rPr>
              <w:t>1）</w:t>
            </w:r>
            <w:r>
              <w:rPr>
                <w:b/>
                <w:bCs/>
                <w:color w:val="auto"/>
                <w:highlight w:val="none"/>
              </w:rPr>
              <w:t>危险废物贮存场所环境影响分析</w:t>
            </w:r>
          </w:p>
          <w:p w14:paraId="77740967">
            <w:pPr>
              <w:ind w:firstLine="480"/>
              <w:rPr>
                <w:color w:val="auto"/>
                <w:highlight w:val="none"/>
                <w:lang w:val="zh-CN"/>
              </w:rPr>
            </w:pPr>
            <w:r>
              <w:rPr>
                <w:rFonts w:hint="eastAsia"/>
                <w:color w:val="auto"/>
                <w:highlight w:val="none"/>
                <w:lang w:val="en-US" w:eastAsia="zh-CN"/>
              </w:rPr>
              <w:t>本项目设置危废贮存点0.5</w:t>
            </w:r>
            <w:r>
              <w:rPr>
                <w:rFonts w:hint="eastAsia"/>
                <w:color w:val="auto"/>
                <w:highlight w:val="none"/>
              </w:rPr>
              <w:t>m</w:t>
            </w:r>
            <w:r>
              <w:rPr>
                <w:rFonts w:hint="eastAsia"/>
                <w:color w:val="auto"/>
                <w:highlight w:val="none"/>
                <w:vertAlign w:val="superscript"/>
              </w:rPr>
              <w:t>2</w:t>
            </w:r>
            <w:r>
              <w:rPr>
                <w:rFonts w:hint="eastAsia"/>
                <w:color w:val="auto"/>
                <w:highlight w:val="none"/>
                <w:vertAlign w:val="baseline"/>
                <w:lang w:val="en-US" w:eastAsia="zh-CN"/>
              </w:rPr>
              <w:t>用于暂存</w:t>
            </w:r>
            <w:sdt>
              <w:sdtPr>
                <w:rPr>
                  <w:color w:val="auto"/>
                </w:rPr>
                <w:alias w:val="语法错误"/>
                <w:tag w:val="reviewtag_FF0000"/>
                <w:id w:val="3061445"/>
              </w:sdtPr>
              <w:sdtEndPr>
                <w:rPr>
                  <w:color w:val="auto"/>
                </w:rPr>
              </w:sdtEndPr>
              <w:sdtContent>
                <w:bookmarkStart w:id="165" w:name="bkReivew3061445"/>
                <w:r>
                  <w:rPr>
                    <w:rFonts w:hint="eastAsia"/>
                    <w:color w:val="auto"/>
                    <w:highlight w:val="none"/>
                    <w:vertAlign w:val="baseline"/>
                    <w:lang w:val="en-US" w:eastAsia="zh-CN"/>
                  </w:rPr>
                  <w:t>泡</w:t>
                </w:r>
                <w:bookmarkEnd w:id="165"/>
              </w:sdtContent>
            </w:sdt>
            <w:r>
              <w:rPr>
                <w:rFonts w:hint="eastAsia"/>
                <w:color w:val="auto"/>
                <w:highlight w:val="none"/>
                <w:vertAlign w:val="baseline"/>
                <w:lang w:val="en-US" w:eastAsia="zh-CN"/>
              </w:rPr>
              <w:t>电池废液、消防废液</w:t>
            </w:r>
            <w:r>
              <w:rPr>
                <w:rFonts w:hint="eastAsia"/>
                <w:color w:val="auto"/>
                <w:highlight w:val="none"/>
                <w:vertAlign w:val="baseline"/>
                <w:lang w:eastAsia="zh-CN"/>
              </w:rPr>
              <w:t>，</w:t>
            </w:r>
            <w:r>
              <w:rPr>
                <w:rFonts w:hint="eastAsia"/>
                <w:color w:val="auto"/>
                <w:highlight w:val="none"/>
                <w:vertAlign w:val="baseline"/>
                <w:lang w:val="en-US" w:eastAsia="zh-CN"/>
              </w:rPr>
              <w:t>贮存点具有固定的区域边界，下方设置防渗托盘。</w:t>
            </w:r>
            <w:r>
              <w:rPr>
                <w:rFonts w:hint="eastAsia"/>
                <w:color w:val="auto"/>
                <w:highlight w:val="none"/>
              </w:rPr>
              <w:t>在定期处置的前提下，可以满足危废暂存的需求。</w:t>
            </w:r>
          </w:p>
          <w:p w14:paraId="46F386FB">
            <w:pPr>
              <w:ind w:firstLine="482"/>
              <w:rPr>
                <w:b/>
                <w:bCs/>
                <w:color w:val="auto"/>
                <w:highlight w:val="none"/>
              </w:rPr>
            </w:pPr>
            <w:r>
              <w:rPr>
                <w:rFonts w:hint="eastAsia"/>
                <w:b/>
                <w:bCs/>
                <w:color w:val="auto"/>
                <w:highlight w:val="none"/>
              </w:rPr>
              <w:t>2）</w:t>
            </w:r>
            <w:r>
              <w:rPr>
                <w:b/>
                <w:bCs/>
                <w:color w:val="auto"/>
                <w:highlight w:val="none"/>
              </w:rPr>
              <w:t>运输过程的环境影响分析</w:t>
            </w:r>
          </w:p>
          <w:p w14:paraId="04FD3E32">
            <w:pPr>
              <w:ind w:firstLine="482"/>
              <w:rPr>
                <w:rFonts w:ascii="宋体" w:hAnsi="宋体" w:cs="宋体"/>
                <w:b/>
                <w:bCs/>
                <w:color w:val="auto"/>
                <w:highlight w:val="none"/>
              </w:rPr>
            </w:pPr>
            <w:r>
              <w:rPr>
                <w:rFonts w:hint="eastAsia" w:ascii="宋体" w:hAnsi="宋体" w:eastAsia="宋体" w:cs="宋体"/>
                <w:b/>
                <w:bCs/>
                <w:color w:val="auto"/>
                <w:highlight w:val="none"/>
              </w:rPr>
              <w:t>①厂区内</w:t>
            </w:r>
            <w:r>
              <w:rPr>
                <w:rFonts w:hint="eastAsia" w:ascii="宋体" w:hAnsi="宋体" w:cs="宋体"/>
                <w:b/>
                <w:bCs/>
                <w:color w:val="auto"/>
                <w:highlight w:val="none"/>
                <w:lang w:val="en-US" w:eastAsia="zh-CN"/>
              </w:rPr>
              <w:t>运输</w:t>
            </w:r>
            <w:r>
              <w:rPr>
                <w:rFonts w:hint="eastAsia" w:ascii="宋体" w:hAnsi="宋体" w:cs="宋体"/>
                <w:b/>
                <w:bCs/>
                <w:color w:val="auto"/>
                <w:highlight w:val="none"/>
              </w:rPr>
              <w:t>过程</w:t>
            </w:r>
          </w:p>
          <w:p w14:paraId="2196C1A1">
            <w:pPr>
              <w:ind w:firstLine="480"/>
              <w:rPr>
                <w:rFonts w:ascii="宋体" w:hAnsi="宋体" w:cs="宋体"/>
                <w:color w:val="auto"/>
                <w:highlight w:val="none"/>
              </w:rPr>
            </w:pPr>
            <w:r>
              <w:rPr>
                <w:rFonts w:hint="eastAsia" w:ascii="宋体" w:hAnsi="宋体" w:cs="宋体"/>
                <w:color w:val="auto"/>
                <w:highlight w:val="none"/>
              </w:rPr>
              <w:t>厂区内运输必须先将</w:t>
            </w:r>
            <w:r>
              <w:rPr>
                <w:rFonts w:hint="eastAsia" w:ascii="宋体" w:hAnsi="宋体" w:cs="宋体"/>
                <w:color w:val="auto"/>
                <w:highlight w:val="none"/>
                <w:lang w:val="en-US" w:eastAsia="zh-CN"/>
              </w:rPr>
              <w:t>危险废物</w:t>
            </w:r>
            <w:r>
              <w:rPr>
                <w:rFonts w:hint="eastAsia" w:ascii="宋体" w:hAnsi="宋体" w:cs="宋体"/>
                <w:color w:val="auto"/>
                <w:highlight w:val="none"/>
              </w:rPr>
              <w:t>密闭</w:t>
            </w:r>
            <w:r>
              <w:rPr>
                <w:rFonts w:hint="eastAsia" w:ascii="宋体" w:hAnsi="宋体" w:cs="宋体"/>
                <w:color w:val="auto"/>
                <w:highlight w:val="none"/>
                <w:lang w:eastAsia="zh-CN"/>
              </w:rPr>
              <w:t>置于</w:t>
            </w:r>
            <w:r>
              <w:rPr>
                <w:rFonts w:hint="eastAsia" w:ascii="宋体" w:hAnsi="宋体" w:cs="宋体"/>
                <w:color w:val="auto"/>
                <w:highlight w:val="none"/>
              </w:rPr>
              <w:t>专用包装物、容器内，防止散落、泄漏；厂区地面均为水泥硬化，一旦因管理疏漏或包装物破损而发生散落、泄漏，要进行及时清理，以免产生二次污染。</w:t>
            </w:r>
          </w:p>
          <w:p w14:paraId="14CF96AC">
            <w:pPr>
              <w:ind w:firstLine="482"/>
              <w:rPr>
                <w:b/>
                <w:bCs/>
                <w:color w:val="auto"/>
                <w:highlight w:val="none"/>
              </w:rPr>
            </w:pPr>
            <w:r>
              <w:rPr>
                <w:rFonts w:hint="default" w:ascii="宋体" w:hAnsi="宋体" w:eastAsia="宋体" w:cs="宋体"/>
                <w:b/>
                <w:bCs/>
                <w:color w:val="auto"/>
                <w:highlight w:val="none"/>
              </w:rPr>
              <w:t>②</w:t>
            </w:r>
            <w:r>
              <w:rPr>
                <w:rFonts w:hint="eastAsia" w:ascii="宋体" w:hAnsi="宋体" w:eastAsia="宋体" w:cs="宋体"/>
                <w:b/>
                <w:bCs/>
                <w:color w:val="auto"/>
                <w:highlight w:val="none"/>
              </w:rPr>
              <w:t>危废外运</w:t>
            </w:r>
            <w:r>
              <w:rPr>
                <w:rFonts w:hint="eastAsia"/>
                <w:b/>
                <w:bCs/>
                <w:color w:val="auto"/>
                <w:highlight w:val="none"/>
              </w:rPr>
              <w:t>过程</w:t>
            </w:r>
          </w:p>
          <w:p w14:paraId="61D86860">
            <w:pPr>
              <w:ind w:firstLine="480"/>
              <w:rPr>
                <w:color w:val="auto"/>
                <w:highlight w:val="none"/>
              </w:rPr>
            </w:pPr>
            <w:r>
              <w:rPr>
                <w:rFonts w:hint="eastAsia"/>
                <w:color w:val="auto"/>
                <w:highlight w:val="none"/>
              </w:rPr>
              <w:t>根据</w:t>
            </w:r>
            <w:sdt>
              <w:sdtPr>
                <w:rPr>
                  <w:color w:val="auto"/>
                </w:rPr>
                <w:alias w:val="标准名称与标准号不匹配"/>
                <w:tag w:val="reviewtag_FF0000"/>
                <w:id w:val="81301"/>
              </w:sdtPr>
              <w:sdtEndPr>
                <w:rPr>
                  <w:color w:val="auto"/>
                </w:rPr>
              </w:sdtEndPr>
              <w:sdtContent>
                <w:bookmarkStart w:id="166" w:name="bkReivew81301"/>
                <w:r>
                  <w:rPr>
                    <w:rFonts w:hint="eastAsia"/>
                    <w:color w:val="auto"/>
                    <w:highlight w:val="none"/>
                  </w:rPr>
                  <w:t>《危险废物收集</w:t>
                </w:r>
                <w:r>
                  <w:rPr>
                    <w:rFonts w:hint="eastAsia"/>
                    <w:color w:val="auto"/>
                    <w:highlight w:val="none"/>
                    <w:lang w:val="en-US" w:eastAsia="zh-CN"/>
                  </w:rPr>
                  <w:t xml:space="preserve"> </w:t>
                </w:r>
                <w:r>
                  <w:rPr>
                    <w:rFonts w:hint="eastAsia"/>
                    <w:color w:val="auto"/>
                    <w:highlight w:val="none"/>
                  </w:rPr>
                  <w:t>贮存</w:t>
                </w:r>
                <w:r>
                  <w:rPr>
                    <w:rFonts w:hint="eastAsia"/>
                    <w:color w:val="auto"/>
                    <w:highlight w:val="none"/>
                    <w:lang w:val="en-US" w:eastAsia="zh-CN"/>
                  </w:rPr>
                  <w:t xml:space="preserve"> </w:t>
                </w:r>
                <w:r>
                  <w:rPr>
                    <w:rFonts w:hint="eastAsia"/>
                    <w:color w:val="auto"/>
                    <w:highlight w:val="none"/>
                  </w:rPr>
                  <w:t>运输技术规范》（HJ2025-2012）</w:t>
                </w:r>
                <w:bookmarkEnd w:id="166"/>
              </w:sdtContent>
            </w:sdt>
            <w:r>
              <w:rPr>
                <w:rFonts w:hint="eastAsia"/>
                <w:color w:val="auto"/>
                <w:highlight w:val="none"/>
              </w:rPr>
              <w:t>、《危险废物转移管理办法》（2022年</w:t>
            </w:r>
            <w:r>
              <w:rPr>
                <w:rFonts w:hint="eastAsia"/>
                <w:color w:val="auto"/>
                <w:highlight w:val="none"/>
                <w:lang w:val="en-US" w:eastAsia="zh-CN"/>
              </w:rPr>
              <w:t>1</w:t>
            </w:r>
            <w:r>
              <w:rPr>
                <w:rFonts w:hint="eastAsia"/>
                <w:color w:val="auto"/>
                <w:highlight w:val="none"/>
              </w:rPr>
              <w:t>月1日）的有关规定，在危险废物外运至处置单位时必须严格遵守以下要求：</w:t>
            </w:r>
          </w:p>
          <w:p w14:paraId="26DD9FF4">
            <w:pPr>
              <w:numPr>
                <w:ilvl w:val="0"/>
                <w:numId w:val="24"/>
              </w:numPr>
              <w:ind w:firstLine="482"/>
              <w:rPr>
                <w:b/>
                <w:bCs/>
                <w:color w:val="auto"/>
                <w:highlight w:val="none"/>
              </w:rPr>
            </w:pPr>
            <w:sdt>
              <w:sdtPr>
                <w:rPr>
                  <w:color w:val="auto"/>
                </w:rPr>
                <w:alias w:val="标准名称与标准号不匹配"/>
                <w:tag w:val="reviewtag_FF0000"/>
                <w:id w:val="2043806"/>
              </w:sdtPr>
              <w:sdtEndPr>
                <w:rPr>
                  <w:color w:val="auto"/>
                </w:rPr>
              </w:sdtEndPr>
              <w:sdtContent>
                <w:bookmarkStart w:id="167" w:name="bkReivew2043806"/>
                <w:r>
                  <w:rPr>
                    <w:rFonts w:hint="eastAsia"/>
                    <w:b/>
                    <w:bCs/>
                    <w:color w:val="auto"/>
                    <w:highlight w:val="none"/>
                  </w:rPr>
                  <w:t>《危险废物收集</w:t>
                </w:r>
                <w:r>
                  <w:rPr>
                    <w:rFonts w:hint="eastAsia"/>
                    <w:b/>
                    <w:bCs/>
                    <w:color w:val="auto"/>
                    <w:highlight w:val="none"/>
                    <w:lang w:val="en-US" w:eastAsia="zh-CN"/>
                  </w:rPr>
                  <w:t xml:space="preserve"> </w:t>
                </w:r>
                <w:r>
                  <w:rPr>
                    <w:rFonts w:hint="eastAsia"/>
                    <w:b/>
                    <w:bCs/>
                    <w:color w:val="auto"/>
                    <w:highlight w:val="none"/>
                  </w:rPr>
                  <w:t>贮存</w:t>
                </w:r>
                <w:r>
                  <w:rPr>
                    <w:rFonts w:hint="eastAsia"/>
                    <w:b/>
                    <w:bCs/>
                    <w:color w:val="auto"/>
                    <w:highlight w:val="none"/>
                    <w:lang w:val="en-US" w:eastAsia="zh-CN"/>
                  </w:rPr>
                  <w:t xml:space="preserve"> </w:t>
                </w:r>
                <w:r>
                  <w:rPr>
                    <w:rFonts w:hint="eastAsia"/>
                    <w:b/>
                    <w:bCs/>
                    <w:color w:val="auto"/>
                    <w:highlight w:val="none"/>
                  </w:rPr>
                  <w:t>运输技术规范》（HJ2025-2012）</w:t>
                </w:r>
                <w:bookmarkEnd w:id="167"/>
              </w:sdtContent>
            </w:sdt>
          </w:p>
          <w:p w14:paraId="27E5ECB3">
            <w:pPr>
              <w:ind w:firstLine="480"/>
              <w:rPr>
                <w:color w:val="auto"/>
                <w:highlight w:val="none"/>
              </w:rPr>
            </w:pPr>
            <w:r>
              <w:rPr>
                <w:rFonts w:hint="eastAsia"/>
                <w:color w:val="auto"/>
                <w:highlight w:val="none"/>
              </w:rPr>
              <w:t>本项目危险废物严格按照</w:t>
            </w:r>
            <w:sdt>
              <w:sdtPr>
                <w:rPr>
                  <w:color w:val="auto"/>
                </w:rPr>
                <w:alias w:val="标准名称与标准号不匹配"/>
                <w:tag w:val="reviewtag_FF0000"/>
                <w:id w:val="3183410"/>
              </w:sdtPr>
              <w:sdtEndPr>
                <w:rPr>
                  <w:color w:val="auto"/>
                </w:rPr>
              </w:sdtEndPr>
              <w:sdtContent>
                <w:bookmarkStart w:id="168" w:name="bkReivew3183410"/>
                <w:r>
                  <w:rPr>
                    <w:rFonts w:hint="eastAsia"/>
                    <w:color w:val="auto"/>
                    <w:highlight w:val="none"/>
                  </w:rPr>
                  <w:t>《危险废物收集</w:t>
                </w:r>
                <w:r>
                  <w:rPr>
                    <w:rFonts w:hint="eastAsia"/>
                    <w:color w:val="auto"/>
                    <w:highlight w:val="none"/>
                    <w:lang w:val="en-US" w:eastAsia="zh-CN"/>
                  </w:rPr>
                  <w:t xml:space="preserve"> </w:t>
                </w:r>
                <w:r>
                  <w:rPr>
                    <w:rFonts w:hint="eastAsia"/>
                    <w:color w:val="auto"/>
                    <w:highlight w:val="none"/>
                  </w:rPr>
                  <w:t>贮存</w:t>
                </w:r>
                <w:r>
                  <w:rPr>
                    <w:rFonts w:hint="eastAsia"/>
                    <w:color w:val="auto"/>
                    <w:highlight w:val="none"/>
                    <w:lang w:val="en-US" w:eastAsia="zh-CN"/>
                  </w:rPr>
                  <w:t xml:space="preserve"> </w:t>
                </w:r>
                <w:r>
                  <w:rPr>
                    <w:rFonts w:hint="eastAsia"/>
                    <w:color w:val="auto"/>
                    <w:highlight w:val="none"/>
                  </w:rPr>
                  <w:t>运输技术规范》（</w:t>
                </w:r>
                <w:r>
                  <w:rPr>
                    <w:color w:val="auto"/>
                    <w:highlight w:val="none"/>
                  </w:rPr>
                  <w:t>HJ2025-2012</w:t>
                </w:r>
                <w:r>
                  <w:rPr>
                    <w:rFonts w:hint="eastAsia"/>
                    <w:color w:val="auto"/>
                    <w:highlight w:val="none"/>
                  </w:rPr>
                  <w:t>）</w:t>
                </w:r>
                <w:bookmarkEnd w:id="168"/>
              </w:sdtContent>
            </w:sdt>
            <w:r>
              <w:rPr>
                <w:rFonts w:hint="eastAsia"/>
                <w:color w:val="auto"/>
                <w:highlight w:val="none"/>
              </w:rPr>
              <w:t>中相关要求运输，在厂区内部运输过程中，严格采取措施防止散落、泄漏，同时运输过程中避开办公区，亦不会对人员及周边环境产生影响。</w:t>
            </w:r>
          </w:p>
          <w:p w14:paraId="707EDCEA">
            <w:pPr>
              <w:ind w:firstLine="480"/>
              <w:rPr>
                <w:color w:val="auto"/>
                <w:highlight w:val="none"/>
              </w:rPr>
            </w:pPr>
            <w:r>
              <w:rPr>
                <w:rFonts w:hint="eastAsia"/>
                <w:color w:val="auto"/>
                <w:highlight w:val="none"/>
              </w:rPr>
              <w:t>危险废物从项目厂区运输至有资质的处置单位过程中，将严格按照</w:t>
            </w:r>
            <w:sdt>
              <w:sdtPr>
                <w:rPr>
                  <w:color w:val="auto"/>
                </w:rPr>
                <w:alias w:val="标准名称与标准号不匹配"/>
                <w:tag w:val="reviewtag_FF0000"/>
                <w:id w:val="2110741"/>
              </w:sdtPr>
              <w:sdtEndPr>
                <w:rPr>
                  <w:color w:val="auto"/>
                </w:rPr>
              </w:sdtEndPr>
              <w:sdtContent>
                <w:bookmarkStart w:id="169" w:name="bkReivew2110741"/>
                <w:r>
                  <w:rPr>
                    <w:rFonts w:hint="eastAsia"/>
                    <w:color w:val="auto"/>
                    <w:highlight w:val="none"/>
                  </w:rPr>
                  <w:t>《危险废物收集</w:t>
                </w:r>
                <w:r>
                  <w:rPr>
                    <w:rFonts w:hint="eastAsia"/>
                    <w:color w:val="auto"/>
                    <w:highlight w:val="none"/>
                    <w:lang w:val="en-US" w:eastAsia="zh-CN"/>
                  </w:rPr>
                  <w:t xml:space="preserve"> </w:t>
                </w:r>
                <w:r>
                  <w:rPr>
                    <w:rFonts w:hint="eastAsia"/>
                    <w:color w:val="auto"/>
                    <w:highlight w:val="none"/>
                  </w:rPr>
                  <w:t>贮存</w:t>
                </w:r>
                <w:r>
                  <w:rPr>
                    <w:rFonts w:hint="eastAsia"/>
                    <w:color w:val="auto"/>
                    <w:highlight w:val="none"/>
                    <w:lang w:val="en-US" w:eastAsia="zh-CN"/>
                  </w:rPr>
                  <w:t xml:space="preserve"> </w:t>
                </w:r>
                <w:r>
                  <w:rPr>
                    <w:rFonts w:hint="eastAsia"/>
                    <w:color w:val="auto"/>
                    <w:highlight w:val="none"/>
                  </w:rPr>
                  <w:t>运输技术规范》（</w:t>
                </w:r>
                <w:r>
                  <w:rPr>
                    <w:color w:val="auto"/>
                    <w:highlight w:val="none"/>
                  </w:rPr>
                  <w:t>HJ2025-2012</w:t>
                </w:r>
                <w:r>
                  <w:rPr>
                    <w:rFonts w:hint="eastAsia"/>
                    <w:color w:val="auto"/>
                    <w:highlight w:val="none"/>
                  </w:rPr>
                  <w:t>）</w:t>
                </w:r>
                <w:bookmarkEnd w:id="169"/>
              </w:sdtContent>
            </w:sdt>
            <w:r>
              <w:rPr>
                <w:rFonts w:hint="eastAsia"/>
                <w:color w:val="auto"/>
                <w:highlight w:val="none"/>
              </w:rPr>
              <w:t>要求，确保运输过程中不会对运输沿线的敏感点产生影响。</w:t>
            </w:r>
          </w:p>
          <w:p w14:paraId="24880204">
            <w:pPr>
              <w:ind w:firstLine="482"/>
              <w:rPr>
                <w:b/>
                <w:bCs/>
                <w:color w:val="auto"/>
                <w:highlight w:val="none"/>
              </w:rPr>
            </w:pPr>
            <w:r>
              <w:rPr>
                <w:rFonts w:hint="eastAsia"/>
                <w:b/>
                <w:bCs/>
                <w:color w:val="auto"/>
                <w:highlight w:val="none"/>
                <w:lang w:val="en-US" w:eastAsia="zh-CN"/>
              </w:rPr>
              <w:t>B.</w:t>
            </w:r>
            <w:r>
              <w:rPr>
                <w:rFonts w:hint="eastAsia"/>
                <w:b/>
                <w:bCs/>
                <w:color w:val="auto"/>
                <w:highlight w:val="none"/>
              </w:rPr>
              <w:t>《危险废物转移管理办法》（2022年</w:t>
            </w:r>
            <w:r>
              <w:rPr>
                <w:rFonts w:hint="eastAsia"/>
                <w:b/>
                <w:bCs/>
                <w:color w:val="auto"/>
                <w:highlight w:val="none"/>
                <w:lang w:val="en-US" w:eastAsia="zh-CN"/>
              </w:rPr>
              <w:t>1</w:t>
            </w:r>
            <w:r>
              <w:rPr>
                <w:rFonts w:hint="eastAsia"/>
                <w:b/>
                <w:bCs/>
                <w:color w:val="auto"/>
                <w:highlight w:val="none"/>
              </w:rPr>
              <w:t>月1日）</w:t>
            </w:r>
          </w:p>
          <w:p w14:paraId="4450EE1F">
            <w:pPr>
              <w:bidi w:val="0"/>
              <w:rPr>
                <w:color w:val="auto"/>
                <w:highlight w:val="none"/>
              </w:rPr>
            </w:pPr>
            <w:r>
              <w:rPr>
                <w:rFonts w:hint="eastAsia"/>
                <w:color w:val="auto"/>
                <w:highlight w:val="none"/>
                <w:lang w:val="en-US" w:eastAsia="zh-CN"/>
              </w:rPr>
              <w:t>a.</w:t>
            </w:r>
            <w:r>
              <w:rPr>
                <w:rFonts w:hint="eastAsia"/>
                <w:color w:val="auto"/>
                <w:highlight w:val="none"/>
              </w:rPr>
              <w:t>企业危险废物转移须严格按照《危险废物转移管理办法》（2022年</w:t>
            </w:r>
            <w:r>
              <w:rPr>
                <w:rFonts w:hint="eastAsia"/>
                <w:color w:val="auto"/>
                <w:highlight w:val="none"/>
                <w:lang w:val="en-US" w:eastAsia="zh-CN"/>
              </w:rPr>
              <w:t>1</w:t>
            </w:r>
            <w:r>
              <w:rPr>
                <w:rFonts w:hint="eastAsia"/>
                <w:color w:val="auto"/>
                <w:highlight w:val="none"/>
              </w:rPr>
              <w:t>月1日）</w:t>
            </w:r>
            <w:sdt>
              <w:sdtPr>
                <w:rPr>
                  <w:color w:val="auto"/>
                </w:rPr>
                <w:alias w:val="语法错误"/>
                <w:tag w:val="reviewtag_FF0000"/>
                <w:id w:val="1171140"/>
              </w:sdtPr>
              <w:sdtEndPr>
                <w:rPr>
                  <w:color w:val="auto"/>
                </w:rPr>
              </w:sdtEndPr>
              <w:sdtContent>
                <w:bookmarkStart w:id="170" w:name="bkReivew1171140"/>
                <w:r>
                  <w:rPr>
                    <w:rFonts w:hint="eastAsia"/>
                    <w:color w:val="auto"/>
                    <w:highlight w:val="none"/>
                  </w:rPr>
                  <w:t>中</w:t>
                </w:r>
                <w:bookmarkEnd w:id="170"/>
              </w:sdtContent>
            </w:sdt>
            <w:r>
              <w:rPr>
                <w:rFonts w:hint="eastAsia"/>
                <w:color w:val="auto"/>
                <w:highlight w:val="none"/>
              </w:rPr>
              <w:t>相关要求管理。</w:t>
            </w:r>
          </w:p>
          <w:p w14:paraId="1764CF4B">
            <w:pPr>
              <w:numPr>
                <w:ilvl w:val="0"/>
                <w:numId w:val="0"/>
              </w:numPr>
              <w:ind w:firstLine="480" w:firstLineChars="200"/>
              <w:rPr>
                <w:color w:val="auto"/>
                <w:highlight w:val="none"/>
              </w:rPr>
            </w:pPr>
            <w:r>
              <w:rPr>
                <w:rFonts w:hint="eastAsia"/>
                <w:color w:val="auto"/>
                <w:highlight w:val="none"/>
                <w:lang w:val="en-US" w:eastAsia="zh-CN"/>
              </w:rPr>
              <w:t>b.</w:t>
            </w:r>
            <w:r>
              <w:rPr>
                <w:color w:val="auto"/>
                <w:highlight w:val="none"/>
              </w:rPr>
              <w:t>对承运人或者</w:t>
            </w:r>
            <w:r>
              <w:rPr>
                <w:rFonts w:hint="eastAsia"/>
                <w:color w:val="auto"/>
                <w:highlight w:val="none"/>
                <w:lang w:eastAsia="zh-CN"/>
              </w:rPr>
              <w:t>接收</w:t>
            </w:r>
            <w:r>
              <w:rPr>
                <w:color w:val="auto"/>
                <w:highlight w:val="none"/>
              </w:rPr>
              <w:t>人的主体资格和技术能力进行核实，依法签订书面合同，并在合同中约定运输、贮存、利用、处置危险废物的污染防治要求及相关责任；</w:t>
            </w:r>
          </w:p>
          <w:p w14:paraId="27C77417">
            <w:pPr>
              <w:numPr>
                <w:ilvl w:val="0"/>
                <w:numId w:val="0"/>
              </w:numPr>
              <w:ind w:firstLine="480" w:firstLineChars="200"/>
              <w:rPr>
                <w:color w:val="auto"/>
                <w:highlight w:val="none"/>
              </w:rPr>
            </w:pPr>
            <w:r>
              <w:rPr>
                <w:rFonts w:hint="eastAsia"/>
                <w:color w:val="auto"/>
                <w:highlight w:val="none"/>
                <w:lang w:val="en-US" w:eastAsia="zh-CN"/>
              </w:rPr>
              <w:t>c.</w:t>
            </w:r>
            <w:r>
              <w:rPr>
                <w:rFonts w:hint="eastAsia"/>
                <w:color w:val="auto"/>
                <w:highlight w:val="none"/>
              </w:rPr>
              <w:t>制定危险废物管理计划，明确拟转移危险废物的种类、重量（数量）和流向等信息；</w:t>
            </w:r>
          </w:p>
          <w:p w14:paraId="586F276E">
            <w:pPr>
              <w:numPr>
                <w:ilvl w:val="0"/>
                <w:numId w:val="0"/>
              </w:numPr>
              <w:ind w:firstLine="480" w:firstLineChars="200"/>
              <w:rPr>
                <w:color w:val="auto"/>
                <w:highlight w:val="none"/>
              </w:rPr>
            </w:pPr>
            <w:r>
              <w:rPr>
                <w:rFonts w:hint="eastAsia"/>
                <w:color w:val="auto"/>
                <w:highlight w:val="none"/>
                <w:lang w:val="en-US" w:eastAsia="zh-CN"/>
              </w:rPr>
              <w:t>d.</w:t>
            </w:r>
            <w:r>
              <w:rPr>
                <w:rFonts w:hint="eastAsia"/>
                <w:color w:val="auto"/>
                <w:highlight w:val="none"/>
              </w:rPr>
              <w:t>建立危险废物管理台账，对转移的危险废物进行计量称重，如实记录、妥善保管转移危险废物的种类、重量（数量）和</w:t>
            </w:r>
            <w:r>
              <w:rPr>
                <w:rFonts w:hint="eastAsia"/>
                <w:color w:val="auto"/>
                <w:highlight w:val="none"/>
                <w:lang w:eastAsia="zh-CN"/>
              </w:rPr>
              <w:t>接收</w:t>
            </w:r>
            <w:r>
              <w:rPr>
                <w:rFonts w:hint="eastAsia"/>
                <w:color w:val="auto"/>
                <w:highlight w:val="none"/>
              </w:rPr>
              <w:t>人等相关信息；</w:t>
            </w:r>
          </w:p>
          <w:p w14:paraId="1E273D8A">
            <w:pPr>
              <w:numPr>
                <w:ilvl w:val="0"/>
                <w:numId w:val="0"/>
              </w:numPr>
              <w:ind w:firstLine="480" w:firstLineChars="200"/>
              <w:rPr>
                <w:color w:val="auto"/>
                <w:highlight w:val="none"/>
              </w:rPr>
            </w:pPr>
            <w:r>
              <w:rPr>
                <w:rFonts w:hint="eastAsia"/>
                <w:color w:val="auto"/>
                <w:highlight w:val="none"/>
                <w:lang w:val="en-US" w:eastAsia="zh-CN"/>
              </w:rPr>
              <w:t>e.</w:t>
            </w:r>
            <w:r>
              <w:rPr>
                <w:rFonts w:hint="eastAsia"/>
                <w:color w:val="auto"/>
                <w:highlight w:val="none"/>
              </w:rPr>
              <w:t>填写、运行危险废物转移联单，在危险废物转移联单中如实填写移出人、承运人、</w:t>
            </w:r>
            <w:r>
              <w:rPr>
                <w:rFonts w:hint="eastAsia"/>
                <w:color w:val="auto"/>
                <w:highlight w:val="none"/>
                <w:lang w:eastAsia="zh-CN"/>
              </w:rPr>
              <w:t>接收</w:t>
            </w:r>
            <w:r>
              <w:rPr>
                <w:rFonts w:hint="eastAsia"/>
                <w:color w:val="auto"/>
                <w:highlight w:val="none"/>
              </w:rPr>
              <w:t>人信息，转移危险废物的种类、重量（数量）、危险特性等信息，以及突发环境事件的防范措施等；</w:t>
            </w:r>
          </w:p>
          <w:p w14:paraId="34401785">
            <w:pPr>
              <w:numPr>
                <w:ilvl w:val="0"/>
                <w:numId w:val="0"/>
              </w:numPr>
              <w:ind w:firstLine="480" w:firstLineChars="200"/>
              <w:rPr>
                <w:color w:val="auto"/>
                <w:highlight w:val="none"/>
              </w:rPr>
            </w:pPr>
            <w:r>
              <w:rPr>
                <w:rFonts w:hint="eastAsia"/>
                <w:color w:val="auto"/>
                <w:highlight w:val="none"/>
                <w:lang w:val="en-US" w:eastAsia="zh-CN"/>
              </w:rPr>
              <w:t>f.</w:t>
            </w:r>
            <w:r>
              <w:rPr>
                <w:rFonts w:hint="eastAsia"/>
                <w:color w:val="auto"/>
                <w:highlight w:val="none"/>
              </w:rPr>
              <w:t>及时核实</w:t>
            </w:r>
            <w:r>
              <w:rPr>
                <w:rFonts w:hint="eastAsia"/>
                <w:color w:val="auto"/>
                <w:highlight w:val="none"/>
                <w:lang w:eastAsia="zh-CN"/>
              </w:rPr>
              <w:t>接收</w:t>
            </w:r>
            <w:r>
              <w:rPr>
                <w:rFonts w:hint="eastAsia"/>
                <w:color w:val="auto"/>
                <w:highlight w:val="none"/>
              </w:rPr>
              <w:t>人贮存、利用或者处置相关危险废物情况</w:t>
            </w:r>
            <w:r>
              <w:rPr>
                <w:rFonts w:hint="eastAsia"/>
                <w:color w:val="auto"/>
                <w:highlight w:val="none"/>
                <w:lang w:eastAsia="zh-CN"/>
              </w:rPr>
              <w:t>。</w:t>
            </w:r>
          </w:p>
          <w:p w14:paraId="737631BE">
            <w:pPr>
              <w:ind w:firstLine="482"/>
              <w:rPr>
                <w:b/>
                <w:bCs/>
                <w:color w:val="auto"/>
                <w:highlight w:val="none"/>
              </w:rPr>
            </w:pPr>
            <w:r>
              <w:rPr>
                <w:rFonts w:hint="eastAsia"/>
                <w:b/>
                <w:bCs/>
                <w:color w:val="auto"/>
                <w:highlight w:val="none"/>
              </w:rPr>
              <w:t>3）</w:t>
            </w:r>
            <w:r>
              <w:rPr>
                <w:b/>
                <w:bCs/>
                <w:color w:val="auto"/>
                <w:highlight w:val="none"/>
              </w:rPr>
              <w:t>委托利用或处置可行性分析</w:t>
            </w:r>
          </w:p>
          <w:p w14:paraId="494AAAA1">
            <w:pPr>
              <w:ind w:firstLine="480"/>
              <w:rPr>
                <w:rFonts w:hint="eastAsia"/>
                <w:color w:val="auto"/>
                <w:highlight w:val="none"/>
                <w:lang w:val="en-US" w:eastAsia="zh-CN"/>
              </w:rPr>
            </w:pPr>
            <w:r>
              <w:rPr>
                <w:color w:val="auto"/>
                <w:highlight w:val="none"/>
              </w:rPr>
              <w:t>本项目产生</w:t>
            </w:r>
            <w:r>
              <w:rPr>
                <w:rFonts w:hint="eastAsia"/>
                <w:color w:val="auto"/>
                <w:highlight w:val="none"/>
                <w:lang w:val="en-US" w:eastAsia="zh-CN"/>
              </w:rPr>
              <w:t>的危险废物</w:t>
            </w:r>
            <w:r>
              <w:rPr>
                <w:color w:val="auto"/>
                <w:highlight w:val="none"/>
              </w:rPr>
              <w:t>，均统一收集后，</w:t>
            </w:r>
            <w:r>
              <w:rPr>
                <w:rFonts w:hint="eastAsia"/>
                <w:color w:val="auto"/>
                <w:highlight w:val="none"/>
                <w:lang w:val="en-US" w:eastAsia="zh-CN"/>
              </w:rPr>
              <w:t>于危废贮存点</w:t>
            </w:r>
            <w:r>
              <w:rPr>
                <w:color w:val="auto"/>
                <w:highlight w:val="none"/>
              </w:rPr>
              <w:t>暂存，并委托有资质单位处理。</w:t>
            </w:r>
            <w:r>
              <w:rPr>
                <w:rFonts w:hint="eastAsia"/>
                <w:color w:val="auto"/>
                <w:highlight w:val="none"/>
                <w:lang w:val="en-US" w:eastAsia="zh-CN"/>
              </w:rPr>
              <w:t>本项目建成企业将危险废物交由有资质危废处置单位处置。</w:t>
            </w:r>
          </w:p>
          <w:p w14:paraId="443AF8D4">
            <w:pPr>
              <w:ind w:firstLine="480"/>
              <w:rPr>
                <w:rFonts w:hint="eastAsia"/>
                <w:color w:val="auto"/>
                <w:highlight w:val="none"/>
                <w:lang w:val="en-US" w:eastAsia="zh-CN"/>
              </w:rPr>
            </w:pPr>
            <w:r>
              <w:rPr>
                <w:rFonts w:hint="eastAsia"/>
                <w:color w:val="auto"/>
                <w:highlight w:val="none"/>
                <w:lang w:val="en-US" w:eastAsia="zh-CN"/>
              </w:rPr>
              <w:t>企业</w:t>
            </w:r>
            <w:r>
              <w:rPr>
                <w:rFonts w:hint="eastAsia"/>
                <w:color w:val="auto"/>
                <w:highlight w:val="none"/>
              </w:rPr>
              <w:t>可</w:t>
            </w:r>
            <w:r>
              <w:rPr>
                <w:color w:val="auto"/>
                <w:highlight w:val="none"/>
                <w:lang w:val="zh-CN"/>
              </w:rPr>
              <w:t>合作的</w:t>
            </w:r>
            <w:r>
              <w:rPr>
                <w:rFonts w:hint="eastAsia"/>
                <w:color w:val="auto"/>
                <w:highlight w:val="none"/>
              </w:rPr>
              <w:t>危险废物</w:t>
            </w:r>
            <w:r>
              <w:rPr>
                <w:color w:val="auto"/>
                <w:highlight w:val="none"/>
                <w:lang w:val="zh-CN"/>
              </w:rPr>
              <w:t>处置单位有</w:t>
            </w:r>
            <w:r>
              <w:rPr>
                <w:rFonts w:hint="eastAsia"/>
                <w:color w:val="auto"/>
                <w:highlight w:val="none"/>
                <w:lang w:val="zh-CN"/>
              </w:rPr>
              <w:t>南京乾鼎长环保</w:t>
            </w:r>
            <w:r>
              <w:rPr>
                <w:rFonts w:hint="eastAsia"/>
                <w:color w:val="auto"/>
                <w:highlight w:val="none"/>
                <w:lang w:val="en-US" w:eastAsia="zh-CN"/>
              </w:rPr>
              <w:t>集团有</w:t>
            </w:r>
            <w:r>
              <w:rPr>
                <w:rFonts w:hint="eastAsia"/>
                <w:color w:val="auto"/>
                <w:highlight w:val="none"/>
                <w:lang w:val="zh-CN"/>
              </w:rPr>
              <w:t>限公司、</w:t>
            </w:r>
            <w:r>
              <w:rPr>
                <w:rFonts w:hint="eastAsia"/>
                <w:color w:val="auto"/>
                <w:highlight w:val="none"/>
                <w:lang w:val="en-US" w:eastAsia="zh-CN"/>
              </w:rPr>
              <w:t>南京乾江环境科技有限公司、中环信（南京）环境服务有限公司等，</w:t>
            </w:r>
            <w:r>
              <w:rPr>
                <w:color w:val="auto"/>
                <w:highlight w:val="none"/>
                <w:lang w:val="zh-CN"/>
              </w:rPr>
              <w:t>本</w:t>
            </w:r>
            <w:r>
              <w:rPr>
                <w:rFonts w:hint="eastAsia"/>
                <w:color w:val="auto"/>
                <w:highlight w:val="none"/>
                <w:lang w:val="en-US" w:eastAsia="zh-CN"/>
              </w:rPr>
              <w:t>项目</w:t>
            </w:r>
            <w:r>
              <w:rPr>
                <w:color w:val="auto"/>
                <w:highlight w:val="none"/>
                <w:lang w:val="zh-CN"/>
              </w:rPr>
              <w:t>产生的</w:t>
            </w:r>
            <w:r>
              <w:rPr>
                <w:rFonts w:hint="eastAsia"/>
                <w:color w:val="auto"/>
                <w:highlight w:val="none"/>
              </w:rPr>
              <w:t>危险废物</w:t>
            </w:r>
            <w:r>
              <w:rPr>
                <w:color w:val="auto"/>
                <w:highlight w:val="none"/>
                <w:lang w:val="zh-CN"/>
              </w:rPr>
              <w:t>种类</w:t>
            </w:r>
            <w:r>
              <w:rPr>
                <w:rFonts w:hint="eastAsia"/>
                <w:color w:val="auto"/>
                <w:highlight w:val="none"/>
                <w:lang w:val="en-US" w:eastAsia="zh-CN"/>
              </w:rPr>
              <w:t>在上述危险废物处置单位的核准经营范围之内，且以上公司有足够的余量接纳。</w:t>
            </w:r>
          </w:p>
          <w:p w14:paraId="284DCB07">
            <w:pPr>
              <w:widowControl/>
              <w:bidi w:val="0"/>
              <w:jc w:val="left"/>
              <w:rPr>
                <w:rFonts w:hint="eastAsia"/>
                <w:color w:val="auto"/>
                <w:highlight w:val="none"/>
                <w:lang w:val="en-US" w:eastAsia="zh-CN"/>
              </w:rPr>
            </w:pPr>
            <w:r>
              <w:rPr>
                <w:rFonts w:hint="eastAsia" w:ascii="宋体" w:hAnsi="宋体" w:cs="宋体"/>
                <w:color w:val="auto"/>
                <w:kern w:val="0"/>
                <w:sz w:val="24"/>
                <w:szCs w:val="24"/>
                <w:highlight w:val="none"/>
                <w:lang w:val="en-US" w:eastAsia="zh-CN" w:bidi="ar"/>
              </w:rPr>
              <w:t>本环评要求</w:t>
            </w:r>
            <w:r>
              <w:rPr>
                <w:rFonts w:hint="eastAsia" w:ascii="宋体" w:hAnsi="宋体" w:eastAsia="宋体" w:cs="宋体"/>
                <w:color w:val="auto"/>
                <w:kern w:val="0"/>
                <w:sz w:val="24"/>
                <w:szCs w:val="24"/>
                <w:highlight w:val="none"/>
                <w:lang w:val="en-US" w:eastAsia="zh-CN" w:bidi="ar"/>
              </w:rPr>
              <w:t>建设项目运行前必须与相关有资质单位签订危废处置协议，建设项目采取上述措施后，从危废产生、收集、贮存、运输和处置等全过程进行管理，对周围环境影响较小。</w:t>
            </w:r>
          </w:p>
          <w:p w14:paraId="674936FE">
            <w:pPr>
              <w:bidi w:val="0"/>
              <w:rPr>
                <w:b/>
                <w:bCs/>
                <w:color w:val="auto"/>
                <w:highlight w:val="none"/>
              </w:rPr>
            </w:pPr>
            <w:r>
              <w:rPr>
                <w:rFonts w:hint="default"/>
                <w:b/>
                <w:bCs/>
                <w:color w:val="auto"/>
                <w:highlight w:val="none"/>
                <w:lang w:val="en-US" w:eastAsia="zh-CN"/>
              </w:rPr>
              <w:t>（</w:t>
            </w:r>
            <w:r>
              <w:rPr>
                <w:rFonts w:hint="eastAsia"/>
                <w:b/>
                <w:bCs/>
                <w:color w:val="auto"/>
                <w:highlight w:val="none"/>
                <w:lang w:val="en-US" w:eastAsia="zh-CN"/>
              </w:rPr>
              <w:t>6</w:t>
            </w:r>
            <w:r>
              <w:rPr>
                <w:rFonts w:hint="default"/>
                <w:b/>
                <w:bCs/>
                <w:color w:val="auto"/>
                <w:highlight w:val="none"/>
                <w:lang w:val="en-US" w:eastAsia="zh-CN"/>
              </w:rPr>
              <w:t>）</w:t>
            </w:r>
            <w:r>
              <w:rPr>
                <w:b/>
                <w:bCs/>
                <w:color w:val="auto"/>
                <w:highlight w:val="none"/>
              </w:rPr>
              <w:t>贮存场所（设施）污染防治措施</w:t>
            </w:r>
          </w:p>
          <w:p w14:paraId="111601CB">
            <w:pPr>
              <w:bidi w:val="0"/>
              <w:rPr>
                <w:b/>
                <w:bCs/>
                <w:color w:val="auto"/>
                <w:highlight w:val="none"/>
              </w:rPr>
            </w:pPr>
            <w:r>
              <w:rPr>
                <w:rFonts w:hint="default"/>
                <w:b/>
                <w:bCs/>
                <w:color w:val="auto"/>
                <w:highlight w:val="none"/>
                <w:lang w:val="en-US" w:eastAsia="zh-CN"/>
              </w:rPr>
              <w:t>1</w:t>
            </w:r>
            <w:r>
              <w:rPr>
                <w:rFonts w:hint="eastAsia"/>
                <w:b/>
                <w:bCs/>
                <w:color w:val="auto"/>
                <w:highlight w:val="none"/>
                <w:lang w:val="en-US" w:eastAsia="zh-CN"/>
              </w:rPr>
              <w:t>）</w:t>
            </w:r>
            <w:r>
              <w:rPr>
                <w:b/>
                <w:bCs/>
                <w:color w:val="auto"/>
                <w:highlight w:val="none"/>
              </w:rPr>
              <w:t>一般</w:t>
            </w:r>
            <w:r>
              <w:rPr>
                <w:rFonts w:hint="eastAsia"/>
                <w:b/>
                <w:bCs/>
                <w:color w:val="auto"/>
                <w:highlight w:val="none"/>
                <w:lang w:val="en-US" w:eastAsia="zh-CN"/>
              </w:rPr>
              <w:t>工业</w:t>
            </w:r>
            <w:r>
              <w:rPr>
                <w:b/>
                <w:bCs/>
                <w:color w:val="auto"/>
                <w:highlight w:val="none"/>
              </w:rPr>
              <w:t>固废</w:t>
            </w:r>
          </w:p>
          <w:p w14:paraId="4ACBB39C">
            <w:pPr>
              <w:bidi w:val="0"/>
              <w:rPr>
                <w:color w:val="auto"/>
                <w:highlight w:val="none"/>
              </w:rPr>
            </w:pPr>
            <w:r>
              <w:rPr>
                <w:rFonts w:hint="eastAsia"/>
                <w:color w:val="auto"/>
                <w:highlight w:val="none"/>
                <w:lang w:val="en-US" w:eastAsia="zh-CN"/>
              </w:rPr>
              <w:t>本</w:t>
            </w:r>
            <w:r>
              <w:rPr>
                <w:color w:val="auto"/>
                <w:highlight w:val="none"/>
              </w:rPr>
              <w:t>项目一般工业固废按照相关要求分类收集贮存，暂存场所满足《</w:t>
            </w:r>
            <w:r>
              <w:rPr>
                <w:rFonts w:hint="eastAsia"/>
                <w:color w:val="auto"/>
                <w:highlight w:val="none"/>
                <w:lang w:eastAsia="zh-CN"/>
              </w:rPr>
              <w:t>环境保护图形标志 固体废物贮存（处置）场</w:t>
            </w:r>
            <w:r>
              <w:rPr>
                <w:color w:val="auto"/>
                <w:highlight w:val="none"/>
              </w:rPr>
              <w:t>》（GB15562.2-1995）等规定要求。</w:t>
            </w:r>
          </w:p>
          <w:p w14:paraId="5869BADA">
            <w:pPr>
              <w:bidi w:val="0"/>
              <w:rPr>
                <w:color w:val="auto"/>
                <w:highlight w:val="none"/>
              </w:rPr>
            </w:pPr>
            <w:r>
              <w:rPr>
                <w:rFonts w:hint="default"/>
                <w:color w:val="auto"/>
                <w:highlight w:val="none"/>
              </w:rPr>
              <w:t>Ⅰ</w:t>
            </w:r>
            <w:r>
              <w:rPr>
                <w:color w:val="auto"/>
                <w:highlight w:val="none"/>
              </w:rPr>
              <w:t>、贮存、处置场的建设类型与堆放的一般工业固体废物的类别相一致。</w:t>
            </w:r>
          </w:p>
          <w:p w14:paraId="58DD76E8">
            <w:pPr>
              <w:bidi w:val="0"/>
              <w:rPr>
                <w:color w:val="auto"/>
                <w:highlight w:val="none"/>
              </w:rPr>
            </w:pPr>
            <w:r>
              <w:rPr>
                <w:rFonts w:hint="default"/>
                <w:color w:val="auto"/>
                <w:highlight w:val="none"/>
              </w:rPr>
              <w:t>Ⅱ</w:t>
            </w:r>
            <w:r>
              <w:rPr>
                <w:color w:val="auto"/>
                <w:highlight w:val="none"/>
              </w:rPr>
              <w:t>、</w:t>
            </w:r>
            <w:r>
              <w:rPr>
                <w:rFonts w:hint="eastAsia"/>
                <w:color w:val="auto"/>
                <w:highlight w:val="none"/>
                <w:lang w:val="en-US" w:eastAsia="zh-CN"/>
              </w:rPr>
              <w:t>企业已</w:t>
            </w:r>
            <w:r>
              <w:rPr>
                <w:color w:val="auto"/>
                <w:highlight w:val="none"/>
              </w:rPr>
              <w:t>建立档案制度</w:t>
            </w:r>
            <w:r>
              <w:rPr>
                <w:rFonts w:hint="eastAsia"/>
                <w:color w:val="auto"/>
                <w:highlight w:val="none"/>
                <w:lang w:eastAsia="zh-CN"/>
              </w:rPr>
              <w:t>，</w:t>
            </w:r>
            <w:bookmarkStart w:id="171" w:name="bkReivew2123126"/>
            <w:r>
              <w:rPr>
                <w:rFonts w:hint="eastAsia"/>
                <w:color w:val="auto"/>
                <w:highlight w:val="none"/>
                <w:lang w:eastAsia="zh-CN"/>
              </w:rPr>
              <w:t>将入</w:t>
            </w:r>
            <w:bookmarkEnd w:id="171"/>
            <w:r>
              <w:rPr>
                <w:rFonts w:hint="eastAsia"/>
                <w:color w:val="auto"/>
                <w:highlight w:val="none"/>
                <w:lang w:eastAsia="zh-CN"/>
              </w:rPr>
              <w:t>厂</w:t>
            </w:r>
            <w:r>
              <w:rPr>
                <w:rFonts w:hint="eastAsia"/>
                <w:color w:val="auto"/>
                <w:highlight w:val="none"/>
                <w:lang w:val="en-US" w:eastAsia="zh-CN"/>
              </w:rPr>
              <w:t>贮存</w:t>
            </w:r>
            <w:r>
              <w:rPr>
                <w:color w:val="auto"/>
                <w:highlight w:val="none"/>
              </w:rPr>
              <w:t>的一般工业固体废物的种类</w:t>
            </w:r>
            <w:r>
              <w:rPr>
                <w:rFonts w:hint="eastAsia"/>
                <w:color w:val="auto"/>
                <w:highlight w:val="none"/>
                <w:lang w:eastAsia="zh-CN"/>
              </w:rPr>
              <w:t>、</w:t>
            </w:r>
            <w:r>
              <w:rPr>
                <w:color w:val="auto"/>
                <w:highlight w:val="none"/>
              </w:rPr>
              <w:t>数量详细记录在案，长期保存，供随时查阅。</w:t>
            </w:r>
          </w:p>
          <w:p w14:paraId="4EC558C6">
            <w:pPr>
              <w:numPr>
                <w:ilvl w:val="0"/>
                <w:numId w:val="0"/>
              </w:numPr>
              <w:bidi w:val="0"/>
              <w:ind w:firstLine="482" w:firstLineChars="200"/>
              <w:rPr>
                <w:rFonts w:hint="default"/>
                <w:b/>
                <w:bCs/>
                <w:color w:val="auto"/>
                <w:highlight w:val="none"/>
                <w:lang w:val="en-US" w:eastAsia="zh-CN"/>
              </w:rPr>
            </w:pPr>
            <w:r>
              <w:rPr>
                <w:rFonts w:hint="default" w:ascii="Times New Roman" w:hAnsi="Times New Roman" w:eastAsia="宋体" w:cs="Times New Roman"/>
                <w:b/>
                <w:bCs/>
                <w:color w:val="auto"/>
                <w:kern w:val="2"/>
                <w:sz w:val="24"/>
                <w:szCs w:val="24"/>
                <w:highlight w:val="none"/>
                <w:lang w:val="en-US" w:eastAsia="zh-CN" w:bidi="ar-SA"/>
              </w:rPr>
              <w:t>2）</w:t>
            </w:r>
            <w:r>
              <w:rPr>
                <w:rFonts w:hint="default"/>
                <w:b/>
                <w:bCs/>
                <w:color w:val="auto"/>
                <w:highlight w:val="none"/>
                <w:lang w:val="en-US" w:eastAsia="zh-CN"/>
              </w:rPr>
              <w:t>危险固废</w:t>
            </w:r>
          </w:p>
          <w:p w14:paraId="734C968D">
            <w:pPr>
              <w:bidi w:val="0"/>
              <w:rPr>
                <w:rFonts w:hint="default"/>
                <w:color w:val="auto"/>
                <w:highlight w:val="none"/>
                <w:lang w:val="en-US" w:eastAsia="zh-CN"/>
              </w:rPr>
            </w:pPr>
            <w:r>
              <w:rPr>
                <w:rFonts w:hint="eastAsia"/>
                <w:color w:val="auto"/>
                <w:highlight w:val="none"/>
                <w:lang w:val="en-US" w:eastAsia="zh-CN"/>
              </w:rPr>
              <w:t>企业车间内已设置0.5</w:t>
            </w:r>
            <w:r>
              <w:rPr>
                <w:rFonts w:hint="eastAsia"/>
                <w:color w:val="auto"/>
                <w:highlight w:val="none"/>
              </w:rPr>
              <w:t>m</w:t>
            </w:r>
            <w:r>
              <w:rPr>
                <w:rFonts w:hint="eastAsia"/>
                <w:color w:val="auto"/>
                <w:highlight w:val="none"/>
                <w:vertAlign w:val="superscript"/>
              </w:rPr>
              <w:t>2</w:t>
            </w:r>
            <w:r>
              <w:rPr>
                <w:rFonts w:hint="eastAsia"/>
                <w:color w:val="auto"/>
                <w:highlight w:val="none"/>
                <w:lang w:val="en-US" w:eastAsia="zh-CN"/>
              </w:rPr>
              <w:t>危废贮存点</w:t>
            </w:r>
            <w:r>
              <w:rPr>
                <w:rFonts w:hint="default"/>
                <w:color w:val="auto"/>
                <w:highlight w:val="none"/>
                <w:lang w:val="en-US" w:eastAsia="zh-CN"/>
              </w:rPr>
              <w:t>，贮存能力满足要求，危险废物贮存场所基本情况见</w:t>
            </w:r>
            <w:r>
              <w:rPr>
                <w:rFonts w:hint="eastAsia"/>
                <w:color w:val="auto"/>
                <w:highlight w:val="none"/>
                <w:lang w:val="en-US" w:eastAsia="zh-CN"/>
              </w:rPr>
              <w:t>下</w:t>
            </w:r>
            <w:r>
              <w:rPr>
                <w:rFonts w:hint="default"/>
                <w:color w:val="auto"/>
                <w:highlight w:val="none"/>
                <w:lang w:val="en-US" w:eastAsia="zh-CN"/>
              </w:rPr>
              <w:t>表。</w:t>
            </w:r>
          </w:p>
          <w:p w14:paraId="19BB1633">
            <w:pPr>
              <w:pStyle w:val="52"/>
              <w:bidi w:val="0"/>
              <w:ind w:left="5518" w:leftChars="0" w:hanging="5518" w:firstLineChars="0"/>
              <w:rPr>
                <w:color w:val="auto"/>
              </w:rPr>
            </w:pPr>
            <w:r>
              <w:rPr>
                <w:rFonts w:hint="eastAsia"/>
                <w:color w:val="auto"/>
                <w:lang w:val="en-US" w:eastAsia="zh-CN"/>
              </w:rPr>
              <w:t>本</w:t>
            </w:r>
            <w:r>
              <w:rPr>
                <w:color w:val="auto"/>
              </w:rPr>
              <w:t>项目危险废物贮存场所基本情况表</w:t>
            </w:r>
          </w:p>
          <w:tbl>
            <w:tblPr>
              <w:tblStyle w:val="33"/>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28" w:type="dxa"/>
                <w:bottom w:w="0" w:type="dxa"/>
                <w:right w:w="28" w:type="dxa"/>
              </w:tblCellMar>
            </w:tblPr>
            <w:tblGrid>
              <w:gridCol w:w="879"/>
              <w:gridCol w:w="1505"/>
              <w:gridCol w:w="945"/>
              <w:gridCol w:w="1290"/>
              <w:gridCol w:w="705"/>
              <w:gridCol w:w="1002"/>
              <w:gridCol w:w="768"/>
              <w:gridCol w:w="852"/>
              <w:gridCol w:w="504"/>
            </w:tblGrid>
            <w:tr w14:paraId="605BF0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38" w:hRule="atLeast"/>
                <w:tblHeader/>
              </w:trPr>
              <w:tc>
                <w:tcPr>
                  <w:tcW w:w="520" w:type="pct"/>
                  <w:tcBorders>
                    <w:right w:val="single" w:color="auto" w:sz="4" w:space="0"/>
                  </w:tcBorders>
                  <w:noWrap/>
                  <w:vAlign w:val="center"/>
                </w:tcPr>
                <w:p w14:paraId="39113BDB">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贮存场所名称</w:t>
                  </w:r>
                </w:p>
              </w:tc>
              <w:tc>
                <w:tcPr>
                  <w:tcW w:w="890" w:type="pct"/>
                  <w:tcBorders>
                    <w:left w:val="single" w:color="auto" w:sz="4" w:space="0"/>
                    <w:right w:val="single" w:color="auto" w:sz="4" w:space="0"/>
                  </w:tcBorders>
                  <w:noWrap w:val="0"/>
                  <w:vAlign w:val="center"/>
                </w:tcPr>
                <w:p w14:paraId="459C46E3">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危险废物名称</w:t>
                  </w:r>
                </w:p>
              </w:tc>
              <w:tc>
                <w:tcPr>
                  <w:tcW w:w="559" w:type="pct"/>
                  <w:tcBorders>
                    <w:left w:val="single" w:color="auto" w:sz="4" w:space="0"/>
                  </w:tcBorders>
                  <w:noWrap w:val="0"/>
                  <w:vAlign w:val="center"/>
                </w:tcPr>
                <w:p w14:paraId="016A475E">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危险废物类别</w:t>
                  </w:r>
                </w:p>
              </w:tc>
              <w:tc>
                <w:tcPr>
                  <w:tcW w:w="763" w:type="pct"/>
                  <w:noWrap w:val="0"/>
                  <w:vAlign w:val="center"/>
                </w:tcPr>
                <w:p w14:paraId="684DE2A5">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危险废物代码</w:t>
                  </w:r>
                </w:p>
              </w:tc>
              <w:tc>
                <w:tcPr>
                  <w:tcW w:w="417" w:type="pct"/>
                  <w:noWrap w:val="0"/>
                  <w:vAlign w:val="center"/>
                </w:tcPr>
                <w:p w14:paraId="14987DE8">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位置</w:t>
                  </w:r>
                </w:p>
              </w:tc>
              <w:tc>
                <w:tcPr>
                  <w:tcW w:w="592" w:type="pct"/>
                  <w:noWrap w:val="0"/>
                  <w:vAlign w:val="center"/>
                </w:tcPr>
                <w:p w14:paraId="3FEEB655">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占地面积（m</w:t>
                  </w:r>
                  <w:r>
                    <w:rPr>
                      <w:rFonts w:hint="default"/>
                      <w:b/>
                      <w:bCs/>
                      <w:color w:val="auto"/>
                      <w:sz w:val="21"/>
                      <w:szCs w:val="21"/>
                      <w:highlight w:val="none"/>
                      <w:vertAlign w:val="superscript"/>
                    </w:rPr>
                    <w:t>2</w:t>
                  </w:r>
                  <w:r>
                    <w:rPr>
                      <w:rFonts w:hint="default"/>
                      <w:b/>
                      <w:bCs/>
                      <w:color w:val="auto"/>
                      <w:sz w:val="21"/>
                      <w:szCs w:val="21"/>
                      <w:highlight w:val="none"/>
                    </w:rPr>
                    <w:t>）</w:t>
                  </w:r>
                </w:p>
              </w:tc>
              <w:tc>
                <w:tcPr>
                  <w:tcW w:w="454" w:type="pct"/>
                  <w:noWrap w:val="0"/>
                  <w:vAlign w:val="center"/>
                </w:tcPr>
                <w:p w14:paraId="7284DA8C">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贮存方式</w:t>
                  </w:r>
                </w:p>
              </w:tc>
              <w:tc>
                <w:tcPr>
                  <w:tcW w:w="504" w:type="pct"/>
                  <w:noWrap w:val="0"/>
                  <w:vAlign w:val="center"/>
                </w:tcPr>
                <w:p w14:paraId="36EBCBBE">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贮存能力（t）</w:t>
                  </w:r>
                </w:p>
              </w:tc>
              <w:tc>
                <w:tcPr>
                  <w:tcW w:w="298" w:type="pct"/>
                  <w:noWrap w:val="0"/>
                  <w:vAlign w:val="center"/>
                </w:tcPr>
                <w:p w14:paraId="6FE4C9EC">
                  <w:pPr>
                    <w:pStyle w:val="48"/>
                    <w:keepNext w:val="0"/>
                    <w:keepLines w:val="0"/>
                    <w:pageBreakBefore w:val="0"/>
                    <w:tabs>
                      <w:tab w:val="left" w:pos="0"/>
                    </w:tabs>
                    <w:kinsoku/>
                    <w:wordWrap/>
                    <w:overflowPunct/>
                    <w:topLinePunct w:val="0"/>
                    <w:autoSpaceDE/>
                    <w:autoSpaceDN/>
                    <w:bidi w:val="0"/>
                    <w:spacing w:line="240" w:lineRule="exact"/>
                    <w:rPr>
                      <w:rFonts w:hint="default"/>
                      <w:b/>
                      <w:bCs/>
                      <w:color w:val="auto"/>
                      <w:sz w:val="21"/>
                      <w:szCs w:val="21"/>
                      <w:highlight w:val="none"/>
                    </w:rPr>
                  </w:pPr>
                  <w:r>
                    <w:rPr>
                      <w:rFonts w:hint="default"/>
                      <w:b/>
                      <w:bCs/>
                      <w:color w:val="auto"/>
                      <w:sz w:val="21"/>
                      <w:szCs w:val="21"/>
                      <w:highlight w:val="none"/>
                    </w:rPr>
                    <w:t>贮存周期</w:t>
                  </w:r>
                </w:p>
              </w:tc>
            </w:tr>
            <w:tr w14:paraId="187311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90" w:hRule="atLeast"/>
                <w:tblHeader/>
              </w:trPr>
              <w:tc>
                <w:tcPr>
                  <w:tcW w:w="520" w:type="pct"/>
                  <w:vMerge w:val="restart"/>
                  <w:tcBorders>
                    <w:right w:val="single" w:color="auto" w:sz="4" w:space="0"/>
                  </w:tcBorders>
                  <w:noWrap/>
                  <w:vAlign w:val="center"/>
                </w:tcPr>
                <w:p w14:paraId="54644BA8">
                  <w:pPr>
                    <w:pStyle w:val="48"/>
                    <w:keepNext w:val="0"/>
                    <w:keepLines w:val="0"/>
                    <w:pageBreakBefore w:val="0"/>
                    <w:tabs>
                      <w:tab w:val="left" w:pos="0"/>
                    </w:tabs>
                    <w:kinsoku/>
                    <w:wordWrap/>
                    <w:overflowPunct/>
                    <w:topLinePunct w:val="0"/>
                    <w:autoSpaceDE/>
                    <w:autoSpaceDN/>
                    <w:bidi w:val="0"/>
                    <w:spacing w:line="240" w:lineRule="exact"/>
                    <w:rPr>
                      <w:rFonts w:hint="default" w:eastAsia="宋体"/>
                      <w:color w:val="auto"/>
                      <w:sz w:val="21"/>
                      <w:szCs w:val="21"/>
                      <w:highlight w:val="none"/>
                      <w:lang w:val="en-US" w:eastAsia="zh-CN"/>
                    </w:rPr>
                  </w:pPr>
                  <w:r>
                    <w:rPr>
                      <w:rFonts w:hint="eastAsia"/>
                      <w:color w:val="auto"/>
                      <w:sz w:val="21"/>
                      <w:szCs w:val="21"/>
                      <w:highlight w:val="none"/>
                      <w:lang w:val="en-US" w:eastAsia="zh-CN"/>
                    </w:rPr>
                    <w:t>危废贮存点</w:t>
                  </w:r>
                </w:p>
              </w:tc>
              <w:tc>
                <w:tcPr>
                  <w:tcW w:w="890" w:type="pct"/>
                  <w:tcBorders>
                    <w:left w:val="single" w:color="auto" w:sz="4" w:space="0"/>
                    <w:right w:val="single" w:color="auto" w:sz="4" w:space="0"/>
                  </w:tcBorders>
                  <w:shd w:val="clear" w:color="auto" w:fill="auto"/>
                  <w:noWrap w:val="0"/>
                  <w:vAlign w:val="center"/>
                </w:tcPr>
                <w:p w14:paraId="15F740FB">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highlight w:val="none"/>
                      <w:lang w:val="en-US" w:eastAsia="zh-CN"/>
                    </w:rPr>
                    <w:t>泡电池废液</w:t>
                  </w:r>
                </w:p>
              </w:tc>
              <w:tc>
                <w:tcPr>
                  <w:tcW w:w="559" w:type="pct"/>
                  <w:tcBorders>
                    <w:left w:val="single" w:color="auto" w:sz="4" w:space="0"/>
                  </w:tcBorders>
                  <w:shd w:val="clear" w:color="auto" w:fill="auto"/>
                  <w:noWrap w:val="0"/>
                  <w:vAlign w:val="center"/>
                </w:tcPr>
                <w:p w14:paraId="079B6ADE">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HW</w:t>
                  </w:r>
                  <w:r>
                    <w:rPr>
                      <w:rFonts w:hint="eastAsia" w:cs="Times New Roman"/>
                      <w:color w:val="auto"/>
                      <w:kern w:val="0"/>
                      <w:sz w:val="21"/>
                      <w:szCs w:val="24"/>
                      <w:highlight w:val="none"/>
                      <w:lang w:val="en-US" w:eastAsia="zh-CN" w:bidi="ar-SA"/>
                    </w:rPr>
                    <w:t>49</w:t>
                  </w:r>
                </w:p>
              </w:tc>
              <w:tc>
                <w:tcPr>
                  <w:tcW w:w="763" w:type="pct"/>
                  <w:shd w:val="clear" w:color="auto" w:fill="auto"/>
                  <w:noWrap w:val="0"/>
                  <w:vAlign w:val="center"/>
                </w:tcPr>
                <w:p w14:paraId="301B71C8">
                  <w:pPr>
                    <w:pStyle w:val="48"/>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900-0</w:t>
                  </w:r>
                  <w:r>
                    <w:rPr>
                      <w:rFonts w:hint="eastAsia" w:cs="Times New Roman"/>
                      <w:color w:val="auto"/>
                      <w:kern w:val="0"/>
                      <w:sz w:val="21"/>
                      <w:szCs w:val="24"/>
                      <w:highlight w:val="none"/>
                      <w:lang w:val="en-US" w:eastAsia="zh-CN" w:bidi="ar-SA"/>
                    </w:rPr>
                    <w:t>47-49</w:t>
                  </w:r>
                </w:p>
              </w:tc>
              <w:tc>
                <w:tcPr>
                  <w:tcW w:w="417" w:type="pct"/>
                  <w:vMerge w:val="restart"/>
                  <w:noWrap w:val="0"/>
                  <w:vAlign w:val="center"/>
                </w:tcPr>
                <w:p w14:paraId="528CA0F0">
                  <w:pPr>
                    <w:pStyle w:val="48"/>
                    <w:keepNext w:val="0"/>
                    <w:keepLines w:val="0"/>
                    <w:pageBreakBefore w:val="0"/>
                    <w:tabs>
                      <w:tab w:val="left" w:pos="0"/>
                    </w:tabs>
                    <w:kinsoku/>
                    <w:wordWrap/>
                    <w:overflowPunct/>
                    <w:topLinePunct w:val="0"/>
                    <w:autoSpaceDE/>
                    <w:autoSpaceDN/>
                    <w:bidi w:val="0"/>
                    <w:spacing w:line="240" w:lineRule="exact"/>
                    <w:rPr>
                      <w:rFonts w:hint="eastAsia" w:eastAsia="宋体"/>
                      <w:color w:val="auto"/>
                      <w:sz w:val="21"/>
                      <w:szCs w:val="21"/>
                      <w:highlight w:val="none"/>
                      <w:lang w:val="en-US" w:eastAsia="zh-CN"/>
                    </w:rPr>
                  </w:pPr>
                  <w:r>
                    <w:rPr>
                      <w:rFonts w:hint="eastAsia"/>
                      <w:color w:val="auto"/>
                      <w:sz w:val="21"/>
                      <w:szCs w:val="21"/>
                      <w:highlight w:val="none"/>
                      <w:lang w:val="en-US" w:eastAsia="zh-CN"/>
                    </w:rPr>
                    <w:t>车间</w:t>
                  </w:r>
                </w:p>
              </w:tc>
              <w:tc>
                <w:tcPr>
                  <w:tcW w:w="592" w:type="pct"/>
                  <w:vMerge w:val="restart"/>
                  <w:noWrap w:val="0"/>
                  <w:vAlign w:val="center"/>
                </w:tcPr>
                <w:p w14:paraId="204B6D7C">
                  <w:pPr>
                    <w:pStyle w:val="48"/>
                    <w:keepNext w:val="0"/>
                    <w:keepLines w:val="0"/>
                    <w:pageBreakBefore w:val="0"/>
                    <w:tabs>
                      <w:tab w:val="left" w:pos="0"/>
                    </w:tabs>
                    <w:kinsoku/>
                    <w:wordWrap/>
                    <w:overflowPunct/>
                    <w:topLinePunct w:val="0"/>
                    <w:autoSpaceDE/>
                    <w:autoSpaceDN/>
                    <w:bidi w:val="0"/>
                    <w:spacing w:line="240" w:lineRule="exact"/>
                    <w:rPr>
                      <w:rFonts w:hint="default" w:eastAsia="宋体"/>
                      <w:color w:val="auto"/>
                      <w:sz w:val="21"/>
                      <w:szCs w:val="21"/>
                      <w:highlight w:val="none"/>
                      <w:lang w:val="en-US" w:eastAsia="zh-CN"/>
                    </w:rPr>
                  </w:pPr>
                  <w:r>
                    <w:rPr>
                      <w:rFonts w:hint="eastAsia"/>
                      <w:color w:val="auto"/>
                      <w:sz w:val="21"/>
                      <w:szCs w:val="21"/>
                      <w:highlight w:val="none"/>
                      <w:lang w:val="en-US" w:eastAsia="zh-CN"/>
                    </w:rPr>
                    <w:t>0.5</w:t>
                  </w:r>
                </w:p>
              </w:tc>
              <w:tc>
                <w:tcPr>
                  <w:tcW w:w="454" w:type="pct"/>
                  <w:shd w:val="clear" w:color="auto" w:fill="auto"/>
                  <w:noWrap w:val="0"/>
                  <w:vAlign w:val="center"/>
                </w:tcPr>
                <w:p w14:paraId="0AF07842">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eastAsia="宋体"/>
                      <w:color w:val="auto"/>
                      <w:sz w:val="21"/>
                      <w:szCs w:val="21"/>
                      <w:highlight w:val="none"/>
                      <w:lang w:eastAsia="zh-CN"/>
                    </w:rPr>
                  </w:pPr>
                  <w:r>
                    <w:rPr>
                      <w:rFonts w:hint="eastAsia"/>
                      <w:color w:val="auto"/>
                      <w:sz w:val="21"/>
                      <w:szCs w:val="21"/>
                      <w:highlight w:val="none"/>
                      <w:lang w:val="en-US" w:eastAsia="zh-CN"/>
                    </w:rPr>
                    <w:t>桶装</w:t>
                  </w:r>
                </w:p>
              </w:tc>
              <w:tc>
                <w:tcPr>
                  <w:tcW w:w="504" w:type="pct"/>
                  <w:noWrap w:val="0"/>
                  <w:vAlign w:val="center"/>
                </w:tcPr>
                <w:p w14:paraId="205AB9C1">
                  <w:pPr>
                    <w:pStyle w:val="48"/>
                    <w:keepNext w:val="0"/>
                    <w:keepLines w:val="0"/>
                    <w:pageBreakBefore w:val="0"/>
                    <w:tabs>
                      <w:tab w:val="left" w:pos="0"/>
                    </w:tabs>
                    <w:kinsoku/>
                    <w:wordWrap/>
                    <w:overflowPunct/>
                    <w:topLinePunct w:val="0"/>
                    <w:autoSpaceDE/>
                    <w:autoSpaceDN/>
                    <w:bidi w:val="0"/>
                    <w:spacing w:line="240" w:lineRule="exact"/>
                    <w:rPr>
                      <w:rFonts w:hint="default" w:eastAsia="宋体"/>
                      <w:color w:val="auto"/>
                      <w:sz w:val="21"/>
                      <w:szCs w:val="21"/>
                      <w:highlight w:val="none"/>
                      <w:lang w:val="en-US" w:eastAsia="zh-CN"/>
                    </w:rPr>
                  </w:pPr>
                  <w:r>
                    <w:rPr>
                      <w:rFonts w:hint="eastAsia"/>
                      <w:color w:val="auto"/>
                      <w:sz w:val="21"/>
                      <w:szCs w:val="21"/>
                      <w:highlight w:val="none"/>
                      <w:lang w:val="en-US" w:eastAsia="zh-CN"/>
                    </w:rPr>
                    <w:t>0.54</w:t>
                  </w:r>
                </w:p>
              </w:tc>
              <w:tc>
                <w:tcPr>
                  <w:tcW w:w="298" w:type="pct"/>
                  <w:vMerge w:val="restart"/>
                  <w:noWrap w:val="0"/>
                  <w:vAlign w:val="center"/>
                </w:tcPr>
                <w:p w14:paraId="1481E12F">
                  <w:pPr>
                    <w:pStyle w:val="48"/>
                    <w:keepNext w:val="0"/>
                    <w:keepLines w:val="0"/>
                    <w:pageBreakBefore w:val="0"/>
                    <w:tabs>
                      <w:tab w:val="left" w:pos="0"/>
                    </w:tabs>
                    <w:kinsoku/>
                    <w:wordWrap/>
                    <w:overflowPunct/>
                    <w:topLinePunct w:val="0"/>
                    <w:autoSpaceDE/>
                    <w:autoSpaceDN/>
                    <w:bidi w:val="0"/>
                    <w:spacing w:line="240" w:lineRule="exact"/>
                    <w:rPr>
                      <w:rFonts w:hint="default"/>
                      <w:color w:val="auto"/>
                      <w:sz w:val="21"/>
                      <w:szCs w:val="21"/>
                      <w:highlight w:val="none"/>
                    </w:rPr>
                  </w:pPr>
                  <w:r>
                    <w:rPr>
                      <w:rFonts w:hint="eastAsia"/>
                      <w:color w:val="auto"/>
                      <w:sz w:val="21"/>
                      <w:szCs w:val="21"/>
                      <w:highlight w:val="none"/>
                      <w:lang w:val="en-US" w:eastAsia="zh-CN"/>
                    </w:rPr>
                    <w:t>每周</w:t>
                  </w:r>
                </w:p>
              </w:tc>
            </w:tr>
            <w:tr w14:paraId="30EBE1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90" w:hRule="atLeast"/>
                <w:tblHeader/>
              </w:trPr>
              <w:tc>
                <w:tcPr>
                  <w:tcW w:w="520" w:type="pct"/>
                  <w:vMerge w:val="continue"/>
                  <w:tcBorders>
                    <w:right w:val="single" w:color="auto" w:sz="4" w:space="0"/>
                  </w:tcBorders>
                  <w:noWrap/>
                  <w:vAlign w:val="center"/>
                </w:tcPr>
                <w:p w14:paraId="504A7295">
                  <w:pPr>
                    <w:pStyle w:val="48"/>
                    <w:keepNext w:val="0"/>
                    <w:keepLines w:val="0"/>
                    <w:pageBreakBefore w:val="0"/>
                    <w:tabs>
                      <w:tab w:val="left" w:pos="0"/>
                    </w:tabs>
                    <w:kinsoku/>
                    <w:wordWrap/>
                    <w:overflowPunct/>
                    <w:topLinePunct w:val="0"/>
                    <w:autoSpaceDE/>
                    <w:autoSpaceDN/>
                    <w:bidi w:val="0"/>
                    <w:spacing w:line="240" w:lineRule="exact"/>
                    <w:rPr>
                      <w:rFonts w:hint="eastAsia"/>
                      <w:color w:val="auto"/>
                      <w:sz w:val="21"/>
                      <w:szCs w:val="21"/>
                      <w:highlight w:val="none"/>
                      <w:lang w:val="en-US" w:eastAsia="zh-CN"/>
                    </w:rPr>
                  </w:pPr>
                </w:p>
              </w:tc>
              <w:tc>
                <w:tcPr>
                  <w:tcW w:w="890" w:type="pct"/>
                  <w:tcBorders>
                    <w:left w:val="single" w:color="auto" w:sz="4" w:space="0"/>
                    <w:right w:val="single" w:color="auto" w:sz="4" w:space="0"/>
                  </w:tcBorders>
                  <w:shd w:val="clear" w:color="auto" w:fill="auto"/>
                  <w:noWrap w:val="0"/>
                  <w:vAlign w:val="center"/>
                </w:tcPr>
                <w:p w14:paraId="1F3E0C4E">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宋体" w:hAnsi="宋体" w:eastAsia="宋体" w:cs="宋体"/>
                      <w:i w:val="0"/>
                      <w:iCs w:val="0"/>
                      <w:color w:val="auto"/>
                      <w:kern w:val="0"/>
                      <w:sz w:val="21"/>
                      <w:szCs w:val="21"/>
                      <w:u w:val="none"/>
                      <w:lang w:val="en-US" w:eastAsia="zh-CN" w:bidi="ar"/>
                    </w:rPr>
                  </w:pPr>
                  <w:r>
                    <w:rPr>
                      <w:rFonts w:hint="eastAsia"/>
                      <w:color w:val="auto"/>
                      <w:highlight w:val="none"/>
                      <w:lang w:val="en-US" w:eastAsia="zh-CN"/>
                    </w:rPr>
                    <w:t>消防废液</w:t>
                  </w:r>
                </w:p>
              </w:tc>
              <w:tc>
                <w:tcPr>
                  <w:tcW w:w="559" w:type="pct"/>
                  <w:tcBorders>
                    <w:left w:val="single" w:color="auto" w:sz="4" w:space="0"/>
                  </w:tcBorders>
                  <w:shd w:val="clear" w:color="auto" w:fill="auto"/>
                  <w:noWrap w:val="0"/>
                  <w:vAlign w:val="center"/>
                </w:tcPr>
                <w:p w14:paraId="567976D4">
                  <w:pPr>
                    <w:pStyle w:val="48"/>
                    <w:ind w:firstLine="0" w:firstLineChars="0"/>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 w:val="21"/>
                      <w:szCs w:val="24"/>
                      <w:highlight w:val="none"/>
                      <w:lang w:val="en-US" w:eastAsia="zh-CN" w:bidi="ar-SA"/>
                    </w:rPr>
                    <w:t>HW</w:t>
                  </w:r>
                  <w:r>
                    <w:rPr>
                      <w:rFonts w:hint="eastAsia" w:cs="Times New Roman"/>
                      <w:color w:val="auto"/>
                      <w:kern w:val="0"/>
                      <w:sz w:val="21"/>
                      <w:szCs w:val="24"/>
                      <w:highlight w:val="none"/>
                      <w:lang w:val="en-US" w:eastAsia="zh-CN" w:bidi="ar-SA"/>
                    </w:rPr>
                    <w:t>49</w:t>
                  </w:r>
                </w:p>
              </w:tc>
              <w:tc>
                <w:tcPr>
                  <w:tcW w:w="763" w:type="pct"/>
                  <w:shd w:val="clear" w:color="auto" w:fill="auto"/>
                  <w:noWrap w:val="0"/>
                  <w:vAlign w:val="center"/>
                </w:tcPr>
                <w:p w14:paraId="54F55DD6">
                  <w:pPr>
                    <w:pStyle w:val="48"/>
                    <w:ind w:firstLine="0" w:firstLineChars="0"/>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 w:val="21"/>
                      <w:szCs w:val="24"/>
                      <w:highlight w:val="none"/>
                      <w:lang w:val="en-US" w:eastAsia="zh-CN" w:bidi="ar-SA"/>
                    </w:rPr>
                    <w:t>900-0</w:t>
                  </w:r>
                  <w:r>
                    <w:rPr>
                      <w:rFonts w:hint="eastAsia" w:cs="Times New Roman"/>
                      <w:color w:val="auto"/>
                      <w:kern w:val="0"/>
                      <w:sz w:val="21"/>
                      <w:szCs w:val="24"/>
                      <w:highlight w:val="none"/>
                      <w:lang w:val="en-US" w:eastAsia="zh-CN" w:bidi="ar-SA"/>
                    </w:rPr>
                    <w:t>47-49</w:t>
                  </w:r>
                </w:p>
              </w:tc>
              <w:tc>
                <w:tcPr>
                  <w:tcW w:w="417" w:type="pct"/>
                  <w:vMerge w:val="continue"/>
                  <w:noWrap w:val="0"/>
                  <w:vAlign w:val="center"/>
                </w:tcPr>
                <w:p w14:paraId="4E37356E">
                  <w:pPr>
                    <w:pStyle w:val="48"/>
                    <w:keepNext w:val="0"/>
                    <w:keepLines w:val="0"/>
                    <w:pageBreakBefore w:val="0"/>
                    <w:tabs>
                      <w:tab w:val="left" w:pos="0"/>
                    </w:tabs>
                    <w:kinsoku/>
                    <w:wordWrap/>
                    <w:overflowPunct/>
                    <w:topLinePunct w:val="0"/>
                    <w:autoSpaceDE/>
                    <w:autoSpaceDN/>
                    <w:bidi w:val="0"/>
                    <w:spacing w:line="240" w:lineRule="exact"/>
                    <w:rPr>
                      <w:rFonts w:hint="eastAsia"/>
                      <w:color w:val="auto"/>
                      <w:sz w:val="21"/>
                      <w:szCs w:val="21"/>
                      <w:highlight w:val="none"/>
                      <w:lang w:val="en-US" w:eastAsia="zh-CN"/>
                    </w:rPr>
                  </w:pPr>
                </w:p>
              </w:tc>
              <w:tc>
                <w:tcPr>
                  <w:tcW w:w="592" w:type="pct"/>
                  <w:vMerge w:val="continue"/>
                  <w:noWrap w:val="0"/>
                  <w:vAlign w:val="center"/>
                </w:tcPr>
                <w:p w14:paraId="5F49A727">
                  <w:pPr>
                    <w:pStyle w:val="48"/>
                    <w:keepNext w:val="0"/>
                    <w:keepLines w:val="0"/>
                    <w:pageBreakBefore w:val="0"/>
                    <w:tabs>
                      <w:tab w:val="left" w:pos="0"/>
                    </w:tabs>
                    <w:kinsoku/>
                    <w:wordWrap/>
                    <w:overflowPunct/>
                    <w:topLinePunct w:val="0"/>
                    <w:autoSpaceDE/>
                    <w:autoSpaceDN/>
                    <w:bidi w:val="0"/>
                    <w:spacing w:line="240" w:lineRule="exact"/>
                    <w:rPr>
                      <w:rFonts w:hint="eastAsia"/>
                      <w:color w:val="auto"/>
                      <w:sz w:val="21"/>
                      <w:szCs w:val="21"/>
                      <w:highlight w:val="none"/>
                      <w:lang w:val="en-US" w:eastAsia="zh-CN"/>
                    </w:rPr>
                  </w:pPr>
                </w:p>
              </w:tc>
              <w:tc>
                <w:tcPr>
                  <w:tcW w:w="454" w:type="pct"/>
                  <w:shd w:val="clear" w:color="auto" w:fill="auto"/>
                  <w:noWrap w:val="0"/>
                  <w:vAlign w:val="center"/>
                </w:tcPr>
                <w:p w14:paraId="35088E21">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桶装</w:t>
                  </w:r>
                </w:p>
              </w:tc>
              <w:tc>
                <w:tcPr>
                  <w:tcW w:w="504" w:type="pct"/>
                  <w:noWrap w:val="0"/>
                  <w:vAlign w:val="center"/>
                </w:tcPr>
                <w:p w14:paraId="338A2803">
                  <w:pPr>
                    <w:pStyle w:val="48"/>
                    <w:keepNext w:val="0"/>
                    <w:keepLines w:val="0"/>
                    <w:pageBreakBefore w:val="0"/>
                    <w:tabs>
                      <w:tab w:val="left" w:pos="0"/>
                    </w:tabs>
                    <w:kinsoku/>
                    <w:wordWrap/>
                    <w:overflowPunct/>
                    <w:topLinePunct w:val="0"/>
                    <w:autoSpaceDE/>
                    <w:autoSpaceDN/>
                    <w:bidi w:val="0"/>
                    <w:spacing w:line="240" w:lineRule="exact"/>
                    <w:rPr>
                      <w:rFonts w:hint="default"/>
                      <w:color w:val="auto"/>
                      <w:sz w:val="21"/>
                      <w:szCs w:val="21"/>
                      <w:highlight w:val="none"/>
                      <w:lang w:val="en-US" w:eastAsia="zh-CN"/>
                    </w:rPr>
                  </w:pPr>
                  <w:r>
                    <w:rPr>
                      <w:rFonts w:hint="eastAsia"/>
                      <w:color w:val="auto"/>
                      <w:sz w:val="21"/>
                      <w:szCs w:val="21"/>
                      <w:highlight w:val="none"/>
                      <w:lang w:val="en-US" w:eastAsia="zh-CN"/>
                    </w:rPr>
                    <w:t>0.002</w:t>
                  </w:r>
                </w:p>
              </w:tc>
              <w:tc>
                <w:tcPr>
                  <w:tcW w:w="298" w:type="pct"/>
                  <w:vMerge w:val="continue"/>
                  <w:noWrap w:val="0"/>
                  <w:vAlign w:val="center"/>
                </w:tcPr>
                <w:p w14:paraId="1EA98750">
                  <w:pPr>
                    <w:pStyle w:val="48"/>
                    <w:keepNext w:val="0"/>
                    <w:keepLines w:val="0"/>
                    <w:pageBreakBefore w:val="0"/>
                    <w:tabs>
                      <w:tab w:val="left" w:pos="0"/>
                    </w:tabs>
                    <w:kinsoku/>
                    <w:wordWrap/>
                    <w:overflowPunct/>
                    <w:topLinePunct w:val="0"/>
                    <w:autoSpaceDE/>
                    <w:autoSpaceDN/>
                    <w:bidi w:val="0"/>
                    <w:spacing w:line="240" w:lineRule="exact"/>
                    <w:rPr>
                      <w:rFonts w:hint="eastAsia"/>
                      <w:color w:val="auto"/>
                      <w:sz w:val="21"/>
                      <w:szCs w:val="21"/>
                      <w:highlight w:val="none"/>
                      <w:lang w:val="en-US" w:eastAsia="zh-CN"/>
                    </w:rPr>
                  </w:pPr>
                </w:p>
              </w:tc>
            </w:tr>
          </w:tbl>
          <w:p w14:paraId="3C8C2C19">
            <w:pPr>
              <w:bidi w:val="0"/>
              <w:rPr>
                <w:color w:val="auto"/>
                <w:highlight w:val="none"/>
              </w:rPr>
            </w:pPr>
            <w:r>
              <w:rPr>
                <w:rFonts w:hint="eastAsia"/>
                <w:color w:val="auto"/>
                <w:highlight w:val="none"/>
                <w:lang w:val="en-US" w:eastAsia="zh-CN"/>
              </w:rPr>
              <w:t>危废贮存点按照《</w:t>
            </w:r>
            <w:r>
              <w:rPr>
                <w:color w:val="auto"/>
                <w:highlight w:val="none"/>
                <w:lang w:val="en-US" w:eastAsia="zh-CN"/>
              </w:rPr>
              <w:t>危险废物贮存污染控制标准</w:t>
            </w:r>
            <w:r>
              <w:rPr>
                <w:rFonts w:hint="eastAsia"/>
                <w:color w:val="auto"/>
                <w:highlight w:val="none"/>
                <w:lang w:val="en-US" w:eastAsia="zh-CN"/>
              </w:rPr>
              <w:t>》（</w:t>
            </w:r>
            <w:r>
              <w:rPr>
                <w:rFonts w:hint="eastAsia"/>
                <w:color w:val="auto"/>
                <w:highlight w:val="none"/>
              </w:rPr>
              <w:t>GB18597</w:t>
            </w:r>
            <w:r>
              <w:rPr>
                <w:rFonts w:hint="eastAsia"/>
                <w:color w:val="auto"/>
                <w:highlight w:val="none"/>
                <w:lang w:val="en-US" w:eastAsia="zh-CN"/>
              </w:rPr>
              <w:t>-</w:t>
            </w:r>
            <w:r>
              <w:rPr>
                <w:rFonts w:hint="eastAsia"/>
                <w:color w:val="auto"/>
                <w:highlight w:val="none"/>
              </w:rPr>
              <w:t>2023</w:t>
            </w:r>
            <w:r>
              <w:rPr>
                <w:rFonts w:hint="eastAsia"/>
                <w:color w:val="auto"/>
                <w:highlight w:val="none"/>
                <w:lang w:val="en-US" w:eastAsia="zh-CN"/>
              </w:rPr>
              <w:t>）建设</w:t>
            </w:r>
            <w:r>
              <w:rPr>
                <w:color w:val="auto"/>
                <w:highlight w:val="none"/>
              </w:rPr>
              <w:t>。</w:t>
            </w:r>
          </w:p>
          <w:p w14:paraId="0C76A8B3">
            <w:pPr>
              <w:bidi w:val="0"/>
              <w:rPr>
                <w:b/>
                <w:bCs/>
                <w:color w:val="auto"/>
                <w:highlight w:val="none"/>
              </w:rPr>
            </w:pPr>
            <w:r>
              <w:rPr>
                <w:rFonts w:hint="eastAsia"/>
                <w:b/>
                <w:bCs/>
                <w:color w:val="auto"/>
                <w:highlight w:val="none"/>
              </w:rPr>
              <w:t>（</w:t>
            </w:r>
            <w:r>
              <w:rPr>
                <w:rFonts w:hint="eastAsia"/>
                <w:b/>
                <w:bCs/>
                <w:color w:val="auto"/>
                <w:highlight w:val="none"/>
                <w:lang w:val="en-US" w:eastAsia="zh-CN"/>
              </w:rPr>
              <w:t>7</w:t>
            </w:r>
            <w:r>
              <w:rPr>
                <w:rFonts w:hint="eastAsia"/>
                <w:b/>
                <w:bCs/>
                <w:color w:val="auto"/>
                <w:highlight w:val="none"/>
              </w:rPr>
              <w:t>）危险废物环境风险评价</w:t>
            </w:r>
          </w:p>
          <w:p w14:paraId="7D6A3FBA">
            <w:pPr>
              <w:bidi w:val="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按照《建设项目环境风险评价技术导则》（HJ169-2018），本项目的危险废物具有有毒有害危险性，存在泄漏风险，建设单位</w:t>
            </w:r>
            <w:r>
              <w:rPr>
                <w:rFonts w:hint="eastAsia" w:cs="Times New Roman"/>
                <w:color w:val="auto"/>
                <w:sz w:val="24"/>
                <w:szCs w:val="24"/>
                <w:highlight w:val="none"/>
                <w:lang w:val="en-US" w:eastAsia="zh-CN"/>
              </w:rPr>
              <w:t>应</w:t>
            </w:r>
            <w:r>
              <w:rPr>
                <w:rFonts w:hint="eastAsia" w:ascii="Times New Roman" w:hAnsi="Times New Roman" w:eastAsia="宋体" w:cs="Times New Roman"/>
                <w:color w:val="auto"/>
                <w:sz w:val="24"/>
                <w:szCs w:val="24"/>
                <w:highlight w:val="none"/>
              </w:rPr>
              <w:t>在废包装桶下方设置托盘</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发生少量泄漏应立即将容器内剩余溶液转移，并收集托盘内泄漏液体，防止泄漏物料挥发到大气中，同时应设置禁火标志，并布置灭火器、沙包等消防物资，防止火灾的发生和蔓延。</w:t>
            </w:r>
          </w:p>
          <w:p w14:paraId="3A8FE1D9">
            <w:pPr>
              <w:bidi w:val="0"/>
              <w:rPr>
                <w:b/>
                <w:bCs/>
                <w:color w:val="auto"/>
                <w:highlight w:val="none"/>
              </w:rPr>
            </w:pPr>
            <w:r>
              <w:rPr>
                <w:rFonts w:hint="eastAsia" w:ascii="Times New Roman" w:hAnsi="Times New Roman" w:eastAsia="宋体" w:cs="Times New Roman"/>
                <w:color w:val="auto"/>
                <w:sz w:val="24"/>
                <w:szCs w:val="24"/>
                <w:highlight w:val="none"/>
              </w:rPr>
              <w:t>本项目产生的液态危废一旦储存不当</w:t>
            </w:r>
            <w:r>
              <w:rPr>
                <w:rFonts w:hint="eastAsia" w:cs="Times New Roman"/>
                <w:color w:val="auto"/>
                <w:sz w:val="24"/>
                <w:szCs w:val="24"/>
                <w:highlight w:val="none"/>
                <w:lang w:eastAsia="zh-CN"/>
              </w:rPr>
              <w:t>，</w:t>
            </w:r>
            <w:bookmarkStart w:id="172" w:name="bkReivew3522"/>
            <w:r>
              <w:rPr>
                <w:rFonts w:hint="eastAsia" w:cs="Times New Roman"/>
                <w:color w:val="auto"/>
                <w:sz w:val="24"/>
                <w:szCs w:val="24"/>
                <w:highlight w:val="none"/>
                <w:lang w:eastAsia="zh-CN"/>
              </w:rPr>
              <w:t>会导致</w:t>
            </w:r>
            <w:bookmarkEnd w:id="172"/>
            <w:r>
              <w:rPr>
                <w:rFonts w:hint="eastAsia" w:ascii="Times New Roman" w:hAnsi="Times New Roman" w:eastAsia="宋体" w:cs="Times New Roman"/>
                <w:color w:val="auto"/>
                <w:sz w:val="24"/>
                <w:szCs w:val="24"/>
                <w:highlight w:val="none"/>
              </w:rPr>
              <w:t>包装桶内</w:t>
            </w:r>
            <w:r>
              <w:rPr>
                <w:rFonts w:hint="eastAsia" w:ascii="Times New Roman" w:hAnsi="Times New Roman" w:eastAsia="宋体" w:cs="Times New Roman"/>
                <w:color w:val="auto"/>
                <w:sz w:val="24"/>
                <w:szCs w:val="24"/>
                <w:highlight w:val="none"/>
                <w:lang w:eastAsia="zh-CN"/>
              </w:rPr>
              <w:t>残留</w:t>
            </w:r>
            <w:r>
              <w:rPr>
                <w:rFonts w:hint="eastAsia" w:ascii="Times New Roman" w:hAnsi="Times New Roman" w:eastAsia="宋体" w:cs="Times New Roman"/>
                <w:color w:val="auto"/>
                <w:sz w:val="24"/>
                <w:szCs w:val="24"/>
                <w:highlight w:val="none"/>
              </w:rPr>
              <w:t>的废液泄漏，泄漏的废液可能会进入雨、污管网，随雨水进入河流，进而造成地表水的污染。一旦储存不当或遭遇明火，可能会发生火灾事件，会对环境和社会造成不利影响，严重时会引发人员伤亡。厂区发生火灾事故在燃烧中产生含有一氧化碳、二氧化碳等有毒气体，对大气环境产生不利影响。另厂区发生泄漏以及火灾、爆炸事故也可能会导致有毒有害物质渗透入土壤中，造成土壤、地下水污染。主要影响如下：</w:t>
            </w:r>
          </w:p>
          <w:p w14:paraId="6F6855DF">
            <w:pPr>
              <w:bidi w:val="0"/>
              <w:rPr>
                <w:color w:val="auto"/>
                <w:highlight w:val="none"/>
              </w:rPr>
            </w:pPr>
            <w:r>
              <w:rPr>
                <w:b/>
                <w:bCs/>
                <w:color w:val="auto"/>
                <w:highlight w:val="none"/>
              </w:rPr>
              <w:t>1</w:t>
            </w:r>
            <w:r>
              <w:rPr>
                <w:rFonts w:hint="eastAsia"/>
                <w:b/>
                <w:bCs/>
                <w:color w:val="auto"/>
                <w:highlight w:val="none"/>
              </w:rPr>
              <w:t>）对环境空气的影响：</w:t>
            </w:r>
          </w:p>
          <w:p w14:paraId="090573DB">
            <w:pPr>
              <w:bidi w:val="0"/>
              <w:rPr>
                <w:color w:val="auto"/>
                <w:highlight w:val="none"/>
              </w:rPr>
            </w:pPr>
            <w:r>
              <w:rPr>
                <w:rFonts w:hint="eastAsia"/>
                <w:color w:val="auto"/>
                <w:highlight w:val="none"/>
              </w:rPr>
              <w:t>本项目危险废物均以密封的包装贮存，有效减少挥发性物质对环境空气的影响。</w:t>
            </w:r>
          </w:p>
          <w:p w14:paraId="2B00ABCC">
            <w:pPr>
              <w:bidi w:val="0"/>
              <w:rPr>
                <w:b/>
                <w:bCs/>
                <w:color w:val="auto"/>
                <w:highlight w:val="none"/>
              </w:rPr>
            </w:pPr>
            <w:r>
              <w:rPr>
                <w:b/>
                <w:bCs/>
                <w:color w:val="auto"/>
                <w:highlight w:val="none"/>
              </w:rPr>
              <w:t>2</w:t>
            </w:r>
            <w:r>
              <w:rPr>
                <w:rFonts w:hint="eastAsia"/>
                <w:b/>
                <w:bCs/>
                <w:color w:val="auto"/>
                <w:highlight w:val="none"/>
              </w:rPr>
              <w:t>）对地表水的影响：</w:t>
            </w:r>
          </w:p>
          <w:p w14:paraId="3058845C">
            <w:pPr>
              <w:bidi w:val="0"/>
              <w:rPr>
                <w:color w:val="auto"/>
                <w:highlight w:val="none"/>
              </w:rPr>
            </w:pPr>
            <w:r>
              <w:rPr>
                <w:rFonts w:hint="eastAsia"/>
                <w:color w:val="auto"/>
                <w:highlight w:val="none"/>
                <w:lang w:val="en-US" w:eastAsia="zh-CN"/>
              </w:rPr>
              <w:t>危废贮存点</w:t>
            </w:r>
            <w:r>
              <w:rPr>
                <w:rFonts w:hint="eastAsia"/>
                <w:color w:val="auto"/>
                <w:highlight w:val="none"/>
              </w:rPr>
              <w:t>具有防雨、防漏、防渗措施，当事故发生时，不会产生废液进入</w:t>
            </w:r>
            <w:r>
              <w:rPr>
                <w:rFonts w:hint="eastAsia"/>
                <w:color w:val="auto"/>
                <w:highlight w:val="none"/>
                <w:lang w:val="en-US" w:eastAsia="zh-CN"/>
              </w:rPr>
              <w:t>园</w:t>
            </w:r>
            <w:r>
              <w:rPr>
                <w:rFonts w:hint="eastAsia"/>
                <w:color w:val="auto"/>
                <w:highlight w:val="none"/>
              </w:rPr>
              <w:t>区雨水系统，对周边地表水产生不良影响。</w:t>
            </w:r>
          </w:p>
          <w:p w14:paraId="4CA5A631">
            <w:pPr>
              <w:bidi w:val="0"/>
              <w:rPr>
                <w:b/>
                <w:bCs/>
                <w:color w:val="auto"/>
                <w:highlight w:val="none"/>
              </w:rPr>
            </w:pPr>
            <w:r>
              <w:rPr>
                <w:b/>
                <w:bCs/>
                <w:color w:val="auto"/>
                <w:highlight w:val="none"/>
              </w:rPr>
              <w:t>3</w:t>
            </w:r>
            <w:r>
              <w:rPr>
                <w:rFonts w:hint="eastAsia"/>
                <w:b/>
                <w:bCs/>
                <w:color w:val="auto"/>
                <w:highlight w:val="none"/>
              </w:rPr>
              <w:t>）对地下水的影响：</w:t>
            </w:r>
          </w:p>
          <w:p w14:paraId="76A60EB0">
            <w:pPr>
              <w:bidi w:val="0"/>
              <w:rPr>
                <w:color w:val="auto"/>
                <w:highlight w:val="none"/>
              </w:rPr>
            </w:pPr>
            <w:r>
              <w:rPr>
                <w:rFonts w:hint="eastAsia"/>
                <w:color w:val="auto"/>
                <w:highlight w:val="none"/>
              </w:rPr>
              <w:t>危险废物暂存场所</w:t>
            </w:r>
            <w:r>
              <w:rPr>
                <w:rFonts w:hint="eastAsia"/>
                <w:color w:val="auto"/>
                <w:highlight w:val="none"/>
                <w:lang w:val="en-US" w:eastAsia="zh-CN"/>
              </w:rPr>
              <w:t>按</w:t>
            </w:r>
            <w:r>
              <w:rPr>
                <w:rFonts w:hint="eastAsia"/>
                <w:color w:val="auto"/>
                <w:highlight w:val="none"/>
              </w:rPr>
              <w:t>照《危险废物贮存污染控制标准》（GB18597-20</w:t>
            </w:r>
            <w:r>
              <w:rPr>
                <w:color w:val="auto"/>
                <w:highlight w:val="none"/>
              </w:rPr>
              <w:t>23</w:t>
            </w:r>
            <w:r>
              <w:rPr>
                <w:rFonts w:hint="eastAsia"/>
                <w:color w:val="auto"/>
                <w:highlight w:val="none"/>
              </w:rPr>
              <w:t>）要求，进行防腐、防渗，暂存场所地面铺设等效2mm厚高密度聚乙烯防渗层，渗透系数≤10</w:t>
            </w:r>
            <w:r>
              <w:rPr>
                <w:rFonts w:hint="eastAsia"/>
                <w:color w:val="auto"/>
                <w:highlight w:val="none"/>
                <w:vertAlign w:val="superscript"/>
                <w:lang w:val="en-US" w:eastAsia="zh-CN"/>
              </w:rPr>
              <w:t>-</w:t>
            </w:r>
            <w:r>
              <w:rPr>
                <w:color w:val="auto"/>
                <w:highlight w:val="none"/>
                <w:vertAlign w:val="superscript"/>
              </w:rPr>
              <w:t>10</w:t>
            </w:r>
            <w:r>
              <w:rPr>
                <w:color w:val="auto"/>
                <w:highlight w:val="none"/>
              </w:rPr>
              <w:t>cm/s</w:t>
            </w:r>
            <w:r>
              <w:rPr>
                <w:rFonts w:hint="eastAsia"/>
                <w:color w:val="auto"/>
                <w:highlight w:val="none"/>
              </w:rPr>
              <w:t>，</w:t>
            </w:r>
            <w:r>
              <w:rPr>
                <w:rFonts w:hint="eastAsia"/>
                <w:color w:val="auto"/>
                <w:highlight w:val="none"/>
                <w:lang w:val="en-US" w:eastAsia="zh-CN"/>
              </w:rPr>
              <w:t>设置</w:t>
            </w:r>
            <w:r>
              <w:rPr>
                <w:rFonts w:hint="eastAsia"/>
                <w:color w:val="auto"/>
                <w:highlight w:val="none"/>
              </w:rPr>
              <w:t>集液托盘，正常情况下不会泄漏至室外污染土壤和地下水，不会对区域地下水环境产生影响。</w:t>
            </w:r>
          </w:p>
          <w:p w14:paraId="38E4152D">
            <w:pPr>
              <w:bidi w:val="0"/>
              <w:rPr>
                <w:b/>
                <w:bCs/>
                <w:color w:val="auto"/>
                <w:highlight w:val="none"/>
              </w:rPr>
            </w:pPr>
            <w:r>
              <w:rPr>
                <w:b/>
                <w:bCs/>
                <w:color w:val="auto"/>
                <w:highlight w:val="none"/>
              </w:rPr>
              <w:t>4</w:t>
            </w:r>
            <w:r>
              <w:rPr>
                <w:rFonts w:hint="eastAsia"/>
                <w:b/>
                <w:bCs/>
                <w:color w:val="auto"/>
                <w:highlight w:val="none"/>
              </w:rPr>
              <w:t>）对环境敏感保护目标的影响：</w:t>
            </w:r>
          </w:p>
          <w:p w14:paraId="0CED4F63">
            <w:pPr>
              <w:bidi w:val="0"/>
              <w:rPr>
                <w:color w:val="auto"/>
                <w:highlight w:val="none"/>
              </w:rPr>
            </w:pPr>
            <w:r>
              <w:rPr>
                <w:rFonts w:hint="eastAsia"/>
                <w:color w:val="auto"/>
                <w:highlight w:val="none"/>
              </w:rPr>
              <w:t>本项目暂存的危险废物都按要求妥善保管，暂存场地地面按控制标准</w:t>
            </w:r>
            <w:bookmarkStart w:id="173" w:name="bkReivew1113601"/>
            <w:bookmarkEnd w:id="173"/>
            <w:r>
              <w:rPr>
                <w:rFonts w:hint="eastAsia"/>
                <w:color w:val="auto"/>
                <w:highlight w:val="none"/>
              </w:rPr>
              <w:t>做防渗漏处理，一旦发生泄漏事故及时采取控制措施，环境风险水平在可控制范围内。</w:t>
            </w:r>
          </w:p>
          <w:p w14:paraId="47A65162">
            <w:pPr>
              <w:bidi w:val="0"/>
              <w:rPr>
                <w:color w:val="auto"/>
                <w:highlight w:val="none"/>
              </w:rPr>
            </w:pPr>
            <w:r>
              <w:rPr>
                <w:rFonts w:hint="eastAsia"/>
                <w:color w:val="auto"/>
                <w:highlight w:val="none"/>
              </w:rPr>
              <w:t>综上，本项目危废发生少量泄漏事件，可及时收集，能及时处置，影响不会扩散，能够控制</w:t>
            </w:r>
            <w:r>
              <w:rPr>
                <w:rFonts w:hint="eastAsia"/>
                <w:color w:val="auto"/>
                <w:highlight w:val="none"/>
                <w:lang w:eastAsia="zh-CN"/>
              </w:rPr>
              <w:t>在厂区</w:t>
            </w:r>
            <w:r>
              <w:rPr>
                <w:rFonts w:hint="eastAsia"/>
                <w:color w:val="auto"/>
                <w:highlight w:val="none"/>
              </w:rPr>
              <w:t>内，环境风险可接受。</w:t>
            </w:r>
          </w:p>
          <w:p w14:paraId="46BA001A">
            <w:pPr>
              <w:bidi w:val="0"/>
              <w:rPr>
                <w:b/>
                <w:bCs/>
                <w:color w:val="auto"/>
                <w:highlight w:val="none"/>
              </w:rPr>
            </w:pPr>
            <w:r>
              <w:rPr>
                <w:rFonts w:hint="eastAsia"/>
                <w:b/>
                <w:bCs/>
                <w:color w:val="auto"/>
                <w:highlight w:val="none"/>
                <w:lang w:val="en-US" w:eastAsia="zh-CN"/>
              </w:rPr>
              <w:t>5</w:t>
            </w:r>
            <w:r>
              <w:rPr>
                <w:rFonts w:hint="eastAsia"/>
                <w:b/>
                <w:bCs/>
                <w:color w:val="auto"/>
                <w:highlight w:val="none"/>
                <w:lang w:eastAsia="zh-CN"/>
              </w:rPr>
              <w:t>.</w:t>
            </w:r>
            <w:r>
              <w:rPr>
                <w:b/>
                <w:bCs/>
                <w:color w:val="auto"/>
                <w:highlight w:val="none"/>
              </w:rPr>
              <w:t>土壤、地下水环境影响分析</w:t>
            </w:r>
          </w:p>
          <w:p w14:paraId="1C665D48">
            <w:pPr>
              <w:bidi w:val="0"/>
              <w:rPr>
                <w:b/>
                <w:bCs/>
                <w:color w:val="auto"/>
                <w:highlight w:val="none"/>
              </w:rPr>
            </w:pPr>
            <w:bookmarkStart w:id="174" w:name="_Hlk58946322"/>
            <w:r>
              <w:rPr>
                <w:b/>
                <w:bCs/>
                <w:color w:val="auto"/>
                <w:highlight w:val="none"/>
              </w:rPr>
              <w:t>（1）污染源分析</w:t>
            </w:r>
          </w:p>
          <w:p w14:paraId="4BA0F4CB">
            <w:pPr>
              <w:bidi w:val="0"/>
              <w:rPr>
                <w:rFonts w:hint="eastAsia"/>
                <w:color w:val="auto"/>
                <w:highlight w:val="none"/>
                <w:lang w:eastAsia="zh-CN"/>
              </w:rPr>
            </w:pPr>
            <w:r>
              <w:rPr>
                <w:rFonts w:hint="eastAsia"/>
                <w:color w:val="auto"/>
                <w:highlight w:val="none"/>
              </w:rPr>
              <w:t>本项目可能污染地下水、土壤的污染物主要为</w:t>
            </w:r>
            <w:r>
              <w:rPr>
                <w:rFonts w:hint="eastAsia"/>
                <w:color w:val="auto"/>
                <w:highlight w:val="none"/>
                <w:lang w:val="en-US" w:eastAsia="zh-CN"/>
              </w:rPr>
              <w:t>液态原料</w:t>
            </w:r>
            <w:r>
              <w:rPr>
                <w:rFonts w:hint="eastAsia"/>
                <w:color w:val="auto"/>
                <w:highlight w:val="none"/>
                <w:lang w:eastAsia="zh-CN"/>
              </w:rPr>
              <w:t>，</w:t>
            </w:r>
            <w:r>
              <w:rPr>
                <w:rFonts w:hint="eastAsia"/>
                <w:color w:val="auto"/>
                <w:highlight w:val="none"/>
              </w:rPr>
              <w:t>地下水、</w:t>
            </w:r>
            <w:r>
              <w:rPr>
                <w:color w:val="auto"/>
                <w:highlight w:val="none"/>
              </w:rPr>
              <w:t>土壤环境影响源及影响途径见</w:t>
            </w:r>
            <w:r>
              <w:rPr>
                <w:rFonts w:hint="eastAsia"/>
                <w:color w:val="auto"/>
                <w:highlight w:val="none"/>
              </w:rPr>
              <w:t>下表</w:t>
            </w:r>
            <w:r>
              <w:rPr>
                <w:rFonts w:hint="eastAsia"/>
                <w:color w:val="auto"/>
                <w:highlight w:val="none"/>
                <w:lang w:eastAsia="zh-CN"/>
              </w:rPr>
              <w:t>。</w:t>
            </w:r>
          </w:p>
          <w:p w14:paraId="017C2EDD">
            <w:pPr>
              <w:pStyle w:val="52"/>
              <w:bidi w:val="0"/>
              <w:ind w:left="5518" w:leftChars="0" w:hanging="5518" w:firstLineChars="0"/>
              <w:rPr>
                <w:color w:val="auto"/>
                <w:lang w:val="zh-CN"/>
              </w:rPr>
            </w:pPr>
            <w:r>
              <w:rPr>
                <w:rFonts w:hint="eastAsia"/>
                <w:color w:val="auto"/>
                <w:lang w:val="zh-CN"/>
              </w:rPr>
              <w:t>地下水、</w:t>
            </w:r>
            <w:r>
              <w:rPr>
                <w:color w:val="auto"/>
                <w:lang w:val="zh-CN"/>
              </w:rPr>
              <w:t>土壤环境影响源及影响因子识别</w:t>
            </w:r>
          </w:p>
          <w:tbl>
            <w:tblPr>
              <w:tblStyle w:val="33"/>
              <w:tblW w:w="84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1140"/>
              <w:gridCol w:w="3045"/>
              <w:gridCol w:w="1410"/>
              <w:gridCol w:w="1538"/>
            </w:tblGrid>
            <w:tr w14:paraId="338340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792" w:type="pct"/>
                  <w:vAlign w:val="center"/>
                </w:tcPr>
                <w:p w14:paraId="0AE22320">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lang w:val="zh-CN"/>
                    </w:rPr>
                  </w:pPr>
                  <w:r>
                    <w:rPr>
                      <w:b/>
                      <w:bCs/>
                      <w:color w:val="auto"/>
                      <w:sz w:val="21"/>
                      <w:szCs w:val="21"/>
                      <w:highlight w:val="none"/>
                      <w:lang w:val="zh-CN"/>
                    </w:rPr>
                    <w:t>污染源</w:t>
                  </w:r>
                </w:p>
              </w:tc>
              <w:tc>
                <w:tcPr>
                  <w:tcW w:w="672" w:type="pct"/>
                  <w:vAlign w:val="center"/>
                </w:tcPr>
                <w:p w14:paraId="63B23F7E">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lang w:val="zh-CN"/>
                    </w:rPr>
                  </w:pPr>
                  <w:r>
                    <w:rPr>
                      <w:b/>
                      <w:bCs/>
                      <w:color w:val="auto"/>
                      <w:sz w:val="21"/>
                      <w:szCs w:val="21"/>
                      <w:highlight w:val="none"/>
                      <w:lang w:val="zh-CN"/>
                    </w:rPr>
                    <w:t>污染类型</w:t>
                  </w:r>
                </w:p>
              </w:tc>
              <w:tc>
                <w:tcPr>
                  <w:tcW w:w="1796" w:type="pct"/>
                  <w:vAlign w:val="center"/>
                </w:tcPr>
                <w:p w14:paraId="2D670D6C">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yellow"/>
                      <w:lang w:val="zh-CN"/>
                    </w:rPr>
                  </w:pPr>
                  <w:r>
                    <w:rPr>
                      <w:b/>
                      <w:bCs/>
                      <w:color w:val="auto"/>
                      <w:sz w:val="21"/>
                      <w:szCs w:val="21"/>
                      <w:highlight w:val="none"/>
                      <w:lang w:val="zh-CN"/>
                    </w:rPr>
                    <w:t>污染物名称</w:t>
                  </w:r>
                </w:p>
              </w:tc>
              <w:tc>
                <w:tcPr>
                  <w:tcW w:w="831" w:type="pct"/>
                  <w:vAlign w:val="center"/>
                </w:tcPr>
                <w:p w14:paraId="748BF85C">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lang w:val="zh-CN"/>
                    </w:rPr>
                  </w:pPr>
                  <w:r>
                    <w:rPr>
                      <w:b/>
                      <w:bCs/>
                      <w:color w:val="auto"/>
                      <w:sz w:val="21"/>
                      <w:szCs w:val="21"/>
                      <w:highlight w:val="none"/>
                      <w:lang w:val="zh-CN"/>
                    </w:rPr>
                    <w:t>污染途径</w:t>
                  </w:r>
                </w:p>
              </w:tc>
              <w:tc>
                <w:tcPr>
                  <w:tcW w:w="907" w:type="pct"/>
                  <w:vAlign w:val="center"/>
                </w:tcPr>
                <w:p w14:paraId="65A0DEEF">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b/>
                      <w:bCs/>
                      <w:color w:val="auto"/>
                      <w:sz w:val="21"/>
                      <w:szCs w:val="21"/>
                      <w:highlight w:val="none"/>
                      <w:lang w:val="zh-CN"/>
                    </w:rPr>
                  </w:pPr>
                  <w:r>
                    <w:rPr>
                      <w:b/>
                      <w:bCs/>
                      <w:color w:val="auto"/>
                      <w:sz w:val="21"/>
                      <w:szCs w:val="21"/>
                      <w:highlight w:val="none"/>
                      <w:lang w:val="zh-CN"/>
                    </w:rPr>
                    <w:t>备注</w:t>
                  </w:r>
                </w:p>
              </w:tc>
            </w:tr>
            <w:tr w14:paraId="6BB348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2" w:type="pct"/>
                  <w:vAlign w:val="center"/>
                </w:tcPr>
                <w:p w14:paraId="115D615A">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color w:val="auto"/>
                      <w:sz w:val="21"/>
                      <w:szCs w:val="21"/>
                      <w:highlight w:val="none"/>
                      <w:lang w:val="en-US" w:eastAsia="zh-CN"/>
                    </w:rPr>
                  </w:pPr>
                  <w:r>
                    <w:rPr>
                      <w:rFonts w:hint="eastAsia"/>
                      <w:color w:val="auto"/>
                      <w:sz w:val="21"/>
                      <w:szCs w:val="21"/>
                      <w:highlight w:val="none"/>
                      <w:lang w:val="en-US" w:eastAsia="zh-CN"/>
                    </w:rPr>
                    <w:t>危废贮存点</w:t>
                  </w:r>
                </w:p>
              </w:tc>
              <w:tc>
                <w:tcPr>
                  <w:tcW w:w="672" w:type="pct"/>
                  <w:vAlign w:val="center"/>
                </w:tcPr>
                <w:p w14:paraId="77A2CB2B">
                  <w:pPr>
                    <w:pStyle w:val="48"/>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泄漏</w:t>
                  </w:r>
                </w:p>
              </w:tc>
              <w:tc>
                <w:tcPr>
                  <w:tcW w:w="1796" w:type="pct"/>
                  <w:vAlign w:val="center"/>
                </w:tcPr>
                <w:p w14:paraId="226C9465">
                  <w:pPr>
                    <w:pStyle w:val="48"/>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color w:val="auto"/>
                      <w:sz w:val="21"/>
                      <w:szCs w:val="21"/>
                      <w:highlight w:val="none"/>
                      <w:lang w:val="zh-CN"/>
                    </w:rPr>
                  </w:pPr>
                  <w:r>
                    <w:rPr>
                      <w:rFonts w:hint="eastAsia"/>
                      <w:color w:val="auto"/>
                      <w:sz w:val="21"/>
                      <w:szCs w:val="21"/>
                      <w:highlight w:val="none"/>
                      <w:lang w:val="zh-CN"/>
                    </w:rPr>
                    <w:t>泡电池废液、消防废液</w:t>
                  </w:r>
                </w:p>
              </w:tc>
              <w:tc>
                <w:tcPr>
                  <w:tcW w:w="831" w:type="pct"/>
                  <w:shd w:val="clear" w:color="auto" w:fill="auto"/>
                  <w:vAlign w:val="center"/>
                </w:tcPr>
                <w:p w14:paraId="69A02716">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ascii="Times New Roman" w:hAnsi="Times New Roman" w:eastAsia="宋体" w:cs="Times New Roman"/>
                      <w:color w:val="auto"/>
                      <w:kern w:val="0"/>
                      <w:sz w:val="21"/>
                      <w:szCs w:val="21"/>
                      <w:highlight w:val="none"/>
                      <w:lang w:val="zh-CN" w:eastAsia="zh-CN" w:bidi="ar-SA"/>
                    </w:rPr>
                  </w:pPr>
                  <w:r>
                    <w:rPr>
                      <w:color w:val="auto"/>
                      <w:sz w:val="21"/>
                      <w:szCs w:val="21"/>
                      <w:highlight w:val="none"/>
                      <w:lang w:val="zh-CN"/>
                    </w:rPr>
                    <w:t>垂直入渗</w:t>
                  </w:r>
                </w:p>
              </w:tc>
              <w:tc>
                <w:tcPr>
                  <w:tcW w:w="907" w:type="pct"/>
                  <w:shd w:val="clear" w:color="auto" w:fill="auto"/>
                  <w:vAlign w:val="center"/>
                </w:tcPr>
                <w:p w14:paraId="1EFB55AA">
                  <w:pPr>
                    <w:pStyle w:val="48"/>
                    <w:keepNext w:val="0"/>
                    <w:keepLines w:val="0"/>
                    <w:pageBreakBefore w:val="0"/>
                    <w:widowControl w:val="0"/>
                    <w:kinsoku/>
                    <w:wordWrap/>
                    <w:overflowPunct/>
                    <w:topLinePunct w:val="0"/>
                    <w:autoSpaceDE/>
                    <w:autoSpaceDN/>
                    <w:bidi w:val="0"/>
                    <w:adjustRightInd w:val="0"/>
                    <w:snapToGrid w:val="0"/>
                    <w:spacing w:line="240" w:lineRule="exact"/>
                    <w:ind w:firstLine="0" w:firstLineChars="0"/>
                    <w:textAlignment w:val="auto"/>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sz w:val="21"/>
                      <w:szCs w:val="21"/>
                      <w:highlight w:val="none"/>
                    </w:rPr>
                    <w:t>土壤</w:t>
                  </w:r>
                  <w:r>
                    <w:rPr>
                      <w:rFonts w:hint="eastAsia" w:ascii="Times New Roman" w:hAnsi="Times New Roman" w:eastAsia="宋体" w:cs="Times New Roman"/>
                      <w:color w:val="auto"/>
                      <w:sz w:val="21"/>
                      <w:szCs w:val="21"/>
                      <w:highlight w:val="none"/>
                    </w:rPr>
                    <w:t>、</w:t>
                  </w:r>
                  <w:r>
                    <w:rPr>
                      <w:rFonts w:ascii="Times New Roman" w:hAnsi="Times New Roman" w:eastAsia="宋体" w:cs="Times New Roman"/>
                      <w:color w:val="auto"/>
                      <w:sz w:val="21"/>
                      <w:szCs w:val="21"/>
                      <w:highlight w:val="none"/>
                    </w:rPr>
                    <w:t>地下水</w:t>
                  </w:r>
                </w:p>
              </w:tc>
            </w:tr>
          </w:tbl>
          <w:p w14:paraId="4E4FA0E5">
            <w:pPr>
              <w:bidi w:val="0"/>
              <w:rPr>
                <w:rFonts w:hint="eastAsia"/>
                <w:color w:val="auto"/>
                <w:highlight w:val="none"/>
                <w:lang w:eastAsia="zh-CN"/>
              </w:rPr>
            </w:pPr>
            <w:r>
              <w:rPr>
                <w:color w:val="auto"/>
                <w:highlight w:val="none"/>
              </w:rPr>
              <w:t>由上表可知，本项目</w:t>
            </w:r>
            <w:r>
              <w:rPr>
                <w:rFonts w:hint="eastAsia"/>
                <w:color w:val="auto"/>
                <w:highlight w:val="none"/>
              </w:rPr>
              <w:t>地下水、土壤</w:t>
            </w:r>
            <w:sdt>
              <w:sdtPr>
                <w:rPr>
                  <w:color w:val="auto"/>
                </w:rPr>
                <w:alias w:val="语法错误"/>
                <w:tag w:val="reviewtag_FF0000"/>
                <w:id w:val="1071721"/>
              </w:sdtPr>
              <w:sdtEndPr>
                <w:rPr>
                  <w:color w:val="auto"/>
                </w:rPr>
              </w:sdtEndPr>
              <w:sdtContent>
                <w:bookmarkStart w:id="175" w:name="bkReivew1071721"/>
                <w:r>
                  <w:rPr>
                    <w:color w:val="auto"/>
                    <w:highlight w:val="none"/>
                  </w:rPr>
                  <w:t>环境</w:t>
                </w:r>
                <w:bookmarkEnd w:id="175"/>
              </w:sdtContent>
            </w:sdt>
            <w:r>
              <w:rPr>
                <w:rFonts w:hint="eastAsia"/>
                <w:color w:val="auto"/>
                <w:highlight w:val="none"/>
              </w:rPr>
              <w:t>污染</w:t>
            </w:r>
            <w:r>
              <w:rPr>
                <w:color w:val="auto"/>
                <w:highlight w:val="none"/>
              </w:rPr>
              <w:t>途径</w:t>
            </w:r>
            <w:r>
              <w:rPr>
                <w:rFonts w:hint="eastAsia"/>
                <w:color w:val="auto"/>
                <w:highlight w:val="none"/>
              </w:rPr>
              <w:t>主要为</w:t>
            </w:r>
            <w:r>
              <w:rPr>
                <w:color w:val="auto"/>
                <w:highlight w:val="none"/>
              </w:rPr>
              <w:t>垂直入渗，主要污染物</w:t>
            </w:r>
            <w:r>
              <w:rPr>
                <w:rFonts w:hint="eastAsia"/>
                <w:color w:val="auto"/>
                <w:highlight w:val="none"/>
                <w:lang w:val="en-US" w:eastAsia="zh-CN"/>
              </w:rPr>
              <w:t>为危险废物等</w:t>
            </w:r>
            <w:r>
              <w:rPr>
                <w:color w:val="auto"/>
                <w:highlight w:val="none"/>
              </w:rPr>
              <w:t>。</w:t>
            </w:r>
          </w:p>
          <w:p w14:paraId="5769983E">
            <w:pPr>
              <w:bidi w:val="0"/>
              <w:rPr>
                <w:b/>
                <w:bCs/>
                <w:color w:val="auto"/>
                <w:highlight w:val="none"/>
              </w:rPr>
            </w:pPr>
            <w:r>
              <w:rPr>
                <w:b/>
                <w:bCs/>
                <w:color w:val="auto"/>
                <w:highlight w:val="none"/>
              </w:rPr>
              <w:t>（2）污染防控措施</w:t>
            </w:r>
          </w:p>
          <w:bookmarkEnd w:id="174"/>
          <w:p w14:paraId="1D131835">
            <w:pPr>
              <w:bidi w:val="0"/>
              <w:rPr>
                <w:color w:val="auto"/>
                <w:highlight w:val="none"/>
              </w:rPr>
            </w:pPr>
            <w:r>
              <w:rPr>
                <w:rFonts w:hint="eastAsia"/>
                <w:color w:val="auto"/>
                <w:highlight w:val="none"/>
                <w:lang w:val="en-US" w:eastAsia="zh-CN"/>
              </w:rPr>
              <w:t>1）</w:t>
            </w:r>
            <w:r>
              <w:rPr>
                <w:color w:val="auto"/>
                <w:highlight w:val="none"/>
              </w:rPr>
              <w:t>源头控制</w:t>
            </w:r>
          </w:p>
          <w:p w14:paraId="1E767651">
            <w:pPr>
              <w:bidi w:val="0"/>
              <w:rPr>
                <w:color w:val="auto"/>
                <w:highlight w:val="none"/>
              </w:rPr>
            </w:pPr>
            <w:bookmarkStart w:id="176" w:name="sys2346060"/>
            <w:r>
              <w:rPr>
                <w:color w:val="auto"/>
                <w:highlight w:val="none"/>
              </w:rPr>
              <w:t>加强</w:t>
            </w:r>
            <w:r>
              <w:rPr>
                <w:rFonts w:hint="eastAsia"/>
                <w:color w:val="auto"/>
                <w:highlight w:val="none"/>
              </w:rPr>
              <w:t>生产</w:t>
            </w:r>
            <w:r>
              <w:rPr>
                <w:color w:val="auto"/>
                <w:highlight w:val="none"/>
              </w:rPr>
              <w:t>管理，严格</w:t>
            </w:r>
            <w:r>
              <w:rPr>
                <w:rFonts w:hint="eastAsia"/>
                <w:color w:val="auto"/>
                <w:highlight w:val="none"/>
              </w:rPr>
              <w:t>原料取用、危险废物管理工作，制定原料取用制度、危险废物管理制度，避免原料、危险废物在厂内发生泄漏事故</w:t>
            </w:r>
            <w:r>
              <w:rPr>
                <w:color w:val="auto"/>
                <w:highlight w:val="none"/>
              </w:rPr>
              <w:t>。</w:t>
            </w:r>
            <w:bookmarkEnd w:id="176"/>
          </w:p>
          <w:p w14:paraId="3A41944D">
            <w:pPr>
              <w:bidi w:val="0"/>
              <w:rPr>
                <w:color w:val="auto"/>
                <w:highlight w:val="none"/>
              </w:rPr>
            </w:pPr>
            <w:r>
              <w:rPr>
                <w:rFonts w:hint="eastAsia"/>
                <w:color w:val="auto"/>
                <w:highlight w:val="none"/>
                <w:lang w:val="en-US" w:eastAsia="zh-CN"/>
              </w:rPr>
              <w:t>2）</w:t>
            </w:r>
            <w:r>
              <w:rPr>
                <w:color w:val="auto"/>
                <w:highlight w:val="none"/>
              </w:rPr>
              <w:t>分区防渗</w:t>
            </w:r>
          </w:p>
          <w:p w14:paraId="0BF7460A">
            <w:pPr>
              <w:bidi w:val="0"/>
              <w:rPr>
                <w:color w:val="auto"/>
                <w:highlight w:val="none"/>
              </w:rPr>
            </w:pPr>
            <w:bookmarkStart w:id="177" w:name="sys2348053"/>
            <w:r>
              <w:rPr>
                <w:color w:val="auto"/>
                <w:highlight w:val="none"/>
              </w:rPr>
              <w:t>根据场地防污性能、污染控制难易程度和污染物特性对</w:t>
            </w:r>
            <w:r>
              <w:rPr>
                <w:rFonts w:hint="eastAsia"/>
                <w:color w:val="auto"/>
                <w:highlight w:val="none"/>
              </w:rPr>
              <w:t>本项目所在场地</w:t>
            </w:r>
            <w:r>
              <w:rPr>
                <w:color w:val="auto"/>
                <w:highlight w:val="none"/>
              </w:rPr>
              <w:t>进行分区防渗</w:t>
            </w:r>
            <w:r>
              <w:rPr>
                <w:rFonts w:hint="eastAsia"/>
                <w:color w:val="auto"/>
                <w:highlight w:val="none"/>
              </w:rPr>
              <w:t>，分区防渗方案及防渗措施见下表</w:t>
            </w:r>
            <w:r>
              <w:rPr>
                <w:color w:val="auto"/>
                <w:highlight w:val="none"/>
              </w:rPr>
              <w:t>。</w:t>
            </w:r>
            <w:bookmarkEnd w:id="177"/>
          </w:p>
          <w:p w14:paraId="7087FCA6">
            <w:pPr>
              <w:pStyle w:val="52"/>
              <w:bidi w:val="0"/>
              <w:ind w:left="5518" w:leftChars="0" w:hanging="5518" w:firstLineChars="0"/>
              <w:rPr>
                <w:color w:val="auto"/>
                <w:lang w:val="zh-CN"/>
              </w:rPr>
            </w:pPr>
            <w:r>
              <w:rPr>
                <w:rFonts w:hint="eastAsia"/>
                <w:color w:val="auto"/>
                <w:lang w:val="zh-CN"/>
              </w:rPr>
              <w:t>本项目</w:t>
            </w:r>
            <w:r>
              <w:rPr>
                <w:color w:val="auto"/>
                <w:lang w:val="zh-CN"/>
              </w:rPr>
              <w:t>分区防渗方案及防渗措施表</w:t>
            </w:r>
          </w:p>
          <w:tbl>
            <w:tblPr>
              <w:tblStyle w:val="33"/>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707"/>
              <w:gridCol w:w="1368"/>
              <w:gridCol w:w="2010"/>
              <w:gridCol w:w="4368"/>
            </w:tblGrid>
            <w:tr w14:paraId="23F981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18" w:type="pct"/>
                  <w:vAlign w:val="center"/>
                </w:tcPr>
                <w:p w14:paraId="5566DFBF">
                  <w:pPr>
                    <w:pStyle w:val="48"/>
                    <w:bidi w:val="0"/>
                    <w:rPr>
                      <w:b/>
                      <w:bCs/>
                      <w:color w:val="auto"/>
                      <w:highlight w:val="none"/>
                      <w:lang w:val="zh-CN"/>
                    </w:rPr>
                  </w:pPr>
                  <w:r>
                    <w:rPr>
                      <w:b/>
                      <w:bCs/>
                      <w:color w:val="auto"/>
                      <w:highlight w:val="none"/>
                      <w:lang w:val="zh-CN"/>
                    </w:rPr>
                    <w:t>序号</w:t>
                  </w:r>
                </w:p>
              </w:tc>
              <w:tc>
                <w:tcPr>
                  <w:tcW w:w="809" w:type="pct"/>
                  <w:vAlign w:val="center"/>
                </w:tcPr>
                <w:p w14:paraId="12B90E46">
                  <w:pPr>
                    <w:pStyle w:val="48"/>
                    <w:bidi w:val="0"/>
                    <w:rPr>
                      <w:b/>
                      <w:bCs/>
                      <w:color w:val="auto"/>
                      <w:highlight w:val="none"/>
                      <w:lang w:val="zh-CN"/>
                    </w:rPr>
                  </w:pPr>
                  <w:r>
                    <w:rPr>
                      <w:b/>
                      <w:bCs/>
                      <w:color w:val="auto"/>
                      <w:highlight w:val="none"/>
                      <w:lang w:val="zh-CN"/>
                    </w:rPr>
                    <w:t>防治分区</w:t>
                  </w:r>
                </w:p>
              </w:tc>
              <w:tc>
                <w:tcPr>
                  <w:tcW w:w="1188" w:type="pct"/>
                  <w:vAlign w:val="center"/>
                </w:tcPr>
                <w:p w14:paraId="3C8CAEF4">
                  <w:pPr>
                    <w:pStyle w:val="48"/>
                    <w:bidi w:val="0"/>
                    <w:rPr>
                      <w:b/>
                      <w:bCs/>
                      <w:color w:val="auto"/>
                      <w:highlight w:val="none"/>
                      <w:lang w:val="zh-CN"/>
                    </w:rPr>
                  </w:pPr>
                  <w:r>
                    <w:rPr>
                      <w:b/>
                      <w:bCs/>
                      <w:color w:val="auto"/>
                      <w:highlight w:val="none"/>
                      <w:lang w:val="zh-CN"/>
                    </w:rPr>
                    <w:t>分区位置</w:t>
                  </w:r>
                </w:p>
              </w:tc>
              <w:tc>
                <w:tcPr>
                  <w:tcW w:w="2583" w:type="pct"/>
                  <w:vAlign w:val="center"/>
                </w:tcPr>
                <w:p w14:paraId="05E10514">
                  <w:pPr>
                    <w:pStyle w:val="48"/>
                    <w:bidi w:val="0"/>
                    <w:rPr>
                      <w:b/>
                      <w:bCs/>
                      <w:color w:val="auto"/>
                      <w:highlight w:val="none"/>
                      <w:lang w:val="zh-CN"/>
                    </w:rPr>
                  </w:pPr>
                  <w:r>
                    <w:rPr>
                      <w:b/>
                      <w:bCs/>
                      <w:color w:val="auto"/>
                      <w:highlight w:val="none"/>
                      <w:lang w:val="zh-CN"/>
                    </w:rPr>
                    <w:t>防渗</w:t>
                  </w:r>
                  <w:r>
                    <w:rPr>
                      <w:rFonts w:hint="eastAsia"/>
                      <w:b/>
                      <w:bCs/>
                      <w:color w:val="auto"/>
                      <w:highlight w:val="none"/>
                      <w:lang w:val="zh-CN"/>
                    </w:rPr>
                    <w:t>技术</w:t>
                  </w:r>
                  <w:r>
                    <w:rPr>
                      <w:b/>
                      <w:bCs/>
                      <w:color w:val="auto"/>
                      <w:highlight w:val="none"/>
                      <w:lang w:val="zh-CN"/>
                    </w:rPr>
                    <w:t>要求</w:t>
                  </w:r>
                </w:p>
              </w:tc>
            </w:tr>
            <w:tr w14:paraId="6ECCD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643" w:hRule="atLeast"/>
                <w:jc w:val="center"/>
              </w:trPr>
              <w:tc>
                <w:tcPr>
                  <w:tcW w:w="418" w:type="pct"/>
                  <w:vAlign w:val="center"/>
                </w:tcPr>
                <w:p w14:paraId="4401DA1E">
                  <w:pPr>
                    <w:pStyle w:val="48"/>
                    <w:bidi w:val="0"/>
                    <w:rPr>
                      <w:color w:val="auto"/>
                      <w:highlight w:val="none"/>
                      <w:lang w:val="zh-CN"/>
                    </w:rPr>
                  </w:pPr>
                  <w:r>
                    <w:rPr>
                      <w:color w:val="auto"/>
                      <w:highlight w:val="none"/>
                      <w:lang w:val="zh-CN"/>
                    </w:rPr>
                    <w:t>1</w:t>
                  </w:r>
                </w:p>
              </w:tc>
              <w:tc>
                <w:tcPr>
                  <w:tcW w:w="809" w:type="pct"/>
                  <w:vAlign w:val="center"/>
                </w:tcPr>
                <w:p w14:paraId="5FDC6800">
                  <w:pPr>
                    <w:pStyle w:val="48"/>
                    <w:bidi w:val="0"/>
                    <w:rPr>
                      <w:color w:val="auto"/>
                      <w:highlight w:val="none"/>
                      <w:lang w:val="zh-CN"/>
                    </w:rPr>
                  </w:pPr>
                  <w:r>
                    <w:rPr>
                      <w:color w:val="auto"/>
                      <w:highlight w:val="none"/>
                      <w:lang w:val="zh-CN"/>
                    </w:rPr>
                    <w:t>重点防渗区</w:t>
                  </w:r>
                </w:p>
              </w:tc>
              <w:tc>
                <w:tcPr>
                  <w:tcW w:w="1188" w:type="pct"/>
                  <w:vAlign w:val="center"/>
                </w:tcPr>
                <w:p w14:paraId="48A57777">
                  <w:pPr>
                    <w:pStyle w:val="48"/>
                    <w:bidi w:val="0"/>
                    <w:rPr>
                      <w:rFonts w:hint="default"/>
                      <w:color w:val="auto"/>
                      <w:highlight w:val="none"/>
                      <w:lang w:val="en-US" w:eastAsia="zh-CN"/>
                    </w:rPr>
                  </w:pPr>
                  <w:r>
                    <w:rPr>
                      <w:rFonts w:hint="eastAsia"/>
                      <w:color w:val="auto"/>
                      <w:highlight w:val="none"/>
                      <w:lang w:val="en-US" w:eastAsia="zh-CN"/>
                    </w:rPr>
                    <w:t>危废贮存点、测试区</w:t>
                  </w:r>
                </w:p>
              </w:tc>
              <w:tc>
                <w:tcPr>
                  <w:tcW w:w="2583" w:type="pct"/>
                  <w:vAlign w:val="center"/>
                </w:tcPr>
                <w:p w14:paraId="610D2A5C">
                  <w:pPr>
                    <w:pStyle w:val="48"/>
                    <w:bidi w:val="0"/>
                    <w:rPr>
                      <w:color w:val="auto"/>
                      <w:highlight w:val="none"/>
                      <w:lang w:val="zh-CN" w:eastAsia="zh-CN"/>
                    </w:rPr>
                  </w:pPr>
                  <w:r>
                    <w:rPr>
                      <w:rFonts w:hint="eastAsia"/>
                      <w:color w:val="auto"/>
                      <w:highlight w:val="none"/>
                      <w:lang w:val="zh-CN"/>
                    </w:rPr>
                    <w:t>等效黏土防渗层≥</w:t>
                  </w:r>
                  <w:r>
                    <w:rPr>
                      <w:rFonts w:hint="eastAsia"/>
                      <w:color w:val="auto"/>
                      <w:highlight w:val="none"/>
                    </w:rPr>
                    <w:t>6.0m，K≤1×10</w:t>
                  </w:r>
                  <w:r>
                    <w:rPr>
                      <w:rFonts w:hint="eastAsia"/>
                      <w:color w:val="auto"/>
                      <w:highlight w:val="none"/>
                      <w:vertAlign w:val="superscript"/>
                    </w:rPr>
                    <w:t>-</w:t>
                  </w:r>
                  <w:r>
                    <w:rPr>
                      <w:rFonts w:hint="eastAsia"/>
                      <w:color w:val="auto"/>
                      <w:highlight w:val="none"/>
                      <w:vertAlign w:val="superscript"/>
                      <w:lang w:val="en-US" w:eastAsia="zh-CN"/>
                    </w:rPr>
                    <w:t>10</w:t>
                  </w:r>
                  <w:r>
                    <w:rPr>
                      <w:rFonts w:hint="eastAsia"/>
                      <w:color w:val="auto"/>
                      <w:highlight w:val="none"/>
                    </w:rPr>
                    <w:t>cm/s，或参照</w:t>
                  </w:r>
                  <w:r>
                    <w:rPr>
                      <w:rFonts w:hint="eastAsia"/>
                      <w:color w:val="auto"/>
                      <w:highlight w:val="none"/>
                      <w:lang w:eastAsia="zh-CN"/>
                    </w:rPr>
                    <w:t>（</w:t>
                  </w:r>
                  <w:r>
                    <w:rPr>
                      <w:rFonts w:hint="eastAsia"/>
                      <w:color w:val="auto"/>
                      <w:highlight w:val="none"/>
                    </w:rPr>
                    <w:t>GB1859</w:t>
                  </w:r>
                  <w:r>
                    <w:rPr>
                      <w:rFonts w:hint="eastAsia"/>
                      <w:color w:val="auto"/>
                      <w:highlight w:val="none"/>
                      <w:lang w:val="en-US" w:eastAsia="zh-CN"/>
                    </w:rPr>
                    <w:t>8-2019</w:t>
                  </w:r>
                  <w:r>
                    <w:rPr>
                      <w:rFonts w:hint="eastAsia"/>
                      <w:color w:val="auto"/>
                      <w:highlight w:val="none"/>
                      <w:lang w:eastAsia="zh-CN"/>
                    </w:rPr>
                    <w:t>）</w:t>
                  </w:r>
                  <w:r>
                    <w:rPr>
                      <w:rFonts w:hint="eastAsia"/>
                      <w:color w:val="auto"/>
                      <w:highlight w:val="none"/>
                    </w:rPr>
                    <w:t>执行。</w:t>
                  </w:r>
                </w:p>
              </w:tc>
            </w:tr>
            <w:tr w14:paraId="111C6E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18" w:type="pct"/>
                  <w:vAlign w:val="center"/>
                </w:tcPr>
                <w:p w14:paraId="33191700">
                  <w:pPr>
                    <w:pStyle w:val="48"/>
                    <w:bidi w:val="0"/>
                    <w:rPr>
                      <w:rFonts w:hint="eastAsia"/>
                      <w:color w:val="auto"/>
                      <w:highlight w:val="none"/>
                      <w:lang w:val="en-US" w:eastAsia="zh-CN"/>
                    </w:rPr>
                  </w:pPr>
                  <w:r>
                    <w:rPr>
                      <w:rFonts w:hint="eastAsia"/>
                      <w:color w:val="auto"/>
                      <w:highlight w:val="none"/>
                      <w:lang w:val="en-US" w:eastAsia="zh-CN"/>
                    </w:rPr>
                    <w:t>2</w:t>
                  </w:r>
                </w:p>
              </w:tc>
              <w:tc>
                <w:tcPr>
                  <w:tcW w:w="809" w:type="pct"/>
                  <w:vAlign w:val="center"/>
                </w:tcPr>
                <w:p w14:paraId="049F612C">
                  <w:pPr>
                    <w:pStyle w:val="48"/>
                    <w:bidi w:val="0"/>
                    <w:rPr>
                      <w:color w:val="auto"/>
                      <w:highlight w:val="none"/>
                      <w:lang w:val="zh-CN"/>
                    </w:rPr>
                  </w:pPr>
                  <w:r>
                    <w:rPr>
                      <w:rFonts w:hint="eastAsia"/>
                      <w:color w:val="auto"/>
                      <w:highlight w:val="none"/>
                    </w:rPr>
                    <w:t>一般防渗区</w:t>
                  </w:r>
                </w:p>
              </w:tc>
              <w:tc>
                <w:tcPr>
                  <w:tcW w:w="1188" w:type="pct"/>
                  <w:vAlign w:val="center"/>
                </w:tcPr>
                <w:p w14:paraId="5AC50704">
                  <w:pPr>
                    <w:pStyle w:val="48"/>
                    <w:bidi w:val="0"/>
                    <w:rPr>
                      <w:rFonts w:hint="eastAsia" w:eastAsia="宋体"/>
                      <w:color w:val="auto"/>
                      <w:highlight w:val="none"/>
                      <w:lang w:val="en-US" w:eastAsia="zh-CN"/>
                    </w:rPr>
                  </w:pPr>
                  <w:r>
                    <w:rPr>
                      <w:rFonts w:hint="eastAsia"/>
                      <w:color w:val="auto"/>
                      <w:highlight w:val="none"/>
                    </w:rPr>
                    <w:t>一般固废</w:t>
                  </w:r>
                  <w:r>
                    <w:rPr>
                      <w:rFonts w:hint="eastAsia"/>
                      <w:color w:val="auto"/>
                      <w:highlight w:val="none"/>
                      <w:lang w:val="en-US" w:eastAsia="zh-CN"/>
                    </w:rPr>
                    <w:t>仓</w:t>
                  </w:r>
                  <w:r>
                    <w:rPr>
                      <w:rFonts w:hint="eastAsia"/>
                      <w:color w:val="auto"/>
                      <w:highlight w:val="none"/>
                    </w:rPr>
                    <w:t>库、生产</w:t>
                  </w:r>
                  <w:r>
                    <w:rPr>
                      <w:rFonts w:hint="eastAsia"/>
                      <w:color w:val="auto"/>
                      <w:highlight w:val="none"/>
                      <w:lang w:val="en-US" w:eastAsia="zh-CN"/>
                    </w:rPr>
                    <w:t>区</w:t>
                  </w:r>
                </w:p>
              </w:tc>
              <w:tc>
                <w:tcPr>
                  <w:tcW w:w="2583" w:type="pct"/>
                  <w:vAlign w:val="center"/>
                </w:tcPr>
                <w:p w14:paraId="1AE144FD">
                  <w:pPr>
                    <w:pStyle w:val="48"/>
                    <w:bidi w:val="0"/>
                    <w:rPr>
                      <w:rFonts w:hint="eastAsia"/>
                      <w:color w:val="auto"/>
                      <w:highlight w:val="none"/>
                      <w:lang w:val="zh-CN"/>
                    </w:rPr>
                  </w:pPr>
                  <w:r>
                    <w:rPr>
                      <w:rFonts w:hint="eastAsia"/>
                      <w:color w:val="auto"/>
                      <w:highlight w:val="none"/>
                    </w:rPr>
                    <w:t>地面基础防渗和构筑物防渗等级达到渗透系数≤1.0×10</w:t>
                  </w:r>
                  <w:r>
                    <w:rPr>
                      <w:rFonts w:hint="eastAsia"/>
                      <w:color w:val="auto"/>
                      <w:highlight w:val="none"/>
                      <w:vertAlign w:val="superscript"/>
                      <w:lang w:val="en-US" w:eastAsia="zh-CN"/>
                    </w:rPr>
                    <w:t>-7</w:t>
                  </w:r>
                  <w:r>
                    <w:rPr>
                      <w:rFonts w:hint="eastAsia"/>
                      <w:color w:val="auto"/>
                      <w:highlight w:val="none"/>
                    </w:rPr>
                    <w:t>cm/s，相当于不小于1.5m厚的</w:t>
                  </w:r>
                  <w:r>
                    <w:rPr>
                      <w:rFonts w:hint="eastAsia"/>
                      <w:color w:val="auto"/>
                      <w:highlight w:val="none"/>
                      <w:lang w:eastAsia="zh-CN"/>
                    </w:rPr>
                    <w:t>黏土</w:t>
                  </w:r>
                  <w:r>
                    <w:rPr>
                      <w:rFonts w:hint="eastAsia"/>
                      <w:color w:val="auto"/>
                      <w:highlight w:val="none"/>
                    </w:rPr>
                    <w:t>防护层。</w:t>
                  </w:r>
                </w:p>
              </w:tc>
            </w:tr>
            <w:tr w14:paraId="012F9D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0" w:hRule="atLeast"/>
                <w:jc w:val="center"/>
              </w:trPr>
              <w:tc>
                <w:tcPr>
                  <w:tcW w:w="418" w:type="pct"/>
                  <w:vAlign w:val="center"/>
                </w:tcPr>
                <w:p w14:paraId="6169331E">
                  <w:pPr>
                    <w:pStyle w:val="48"/>
                    <w:bidi w:val="0"/>
                    <w:rPr>
                      <w:rFonts w:hint="eastAsia"/>
                      <w:color w:val="auto"/>
                      <w:highlight w:val="none"/>
                      <w:lang w:eastAsia="zh-CN"/>
                    </w:rPr>
                  </w:pPr>
                  <w:r>
                    <w:rPr>
                      <w:rFonts w:hint="eastAsia"/>
                      <w:color w:val="auto"/>
                      <w:highlight w:val="none"/>
                      <w:lang w:val="en-US" w:eastAsia="zh-CN"/>
                    </w:rPr>
                    <w:t>3</w:t>
                  </w:r>
                </w:p>
              </w:tc>
              <w:tc>
                <w:tcPr>
                  <w:tcW w:w="809" w:type="pct"/>
                  <w:vAlign w:val="center"/>
                </w:tcPr>
                <w:p w14:paraId="1293EE9C">
                  <w:pPr>
                    <w:pStyle w:val="48"/>
                    <w:bidi w:val="0"/>
                    <w:rPr>
                      <w:color w:val="auto"/>
                      <w:highlight w:val="none"/>
                      <w:lang w:val="zh-CN"/>
                    </w:rPr>
                  </w:pPr>
                  <w:r>
                    <w:rPr>
                      <w:rFonts w:hint="eastAsia"/>
                      <w:color w:val="auto"/>
                      <w:highlight w:val="none"/>
                      <w:lang w:val="zh-CN"/>
                    </w:rPr>
                    <w:t>简单防渗区</w:t>
                  </w:r>
                </w:p>
              </w:tc>
              <w:tc>
                <w:tcPr>
                  <w:tcW w:w="1188" w:type="pct"/>
                  <w:vAlign w:val="center"/>
                </w:tcPr>
                <w:p w14:paraId="50F67DFA">
                  <w:pPr>
                    <w:pStyle w:val="48"/>
                    <w:bidi w:val="0"/>
                    <w:rPr>
                      <w:rFonts w:hint="eastAsia"/>
                      <w:color w:val="auto"/>
                      <w:highlight w:val="none"/>
                      <w:lang w:eastAsia="zh-CN"/>
                    </w:rPr>
                  </w:pPr>
                  <w:r>
                    <w:rPr>
                      <w:rFonts w:hint="eastAsia"/>
                      <w:color w:val="auto"/>
                      <w:highlight w:val="none"/>
                    </w:rPr>
                    <w:t>办公</w:t>
                  </w:r>
                  <w:r>
                    <w:rPr>
                      <w:rFonts w:hint="eastAsia"/>
                      <w:color w:val="auto"/>
                      <w:highlight w:val="none"/>
                      <w:lang w:val="en-US" w:eastAsia="zh-CN"/>
                    </w:rPr>
                    <w:t>区</w:t>
                  </w:r>
                  <w:r>
                    <w:rPr>
                      <w:rFonts w:hint="eastAsia"/>
                      <w:color w:val="auto"/>
                      <w:highlight w:val="none"/>
                      <w:lang w:eastAsia="zh-CN"/>
                    </w:rPr>
                    <w:t>、</w:t>
                  </w:r>
                  <w:r>
                    <w:rPr>
                      <w:rFonts w:hint="eastAsia"/>
                      <w:color w:val="auto"/>
                      <w:highlight w:val="none"/>
                      <w:lang w:val="en-US" w:eastAsia="zh-CN"/>
                    </w:rPr>
                    <w:t>成品仓库</w:t>
                  </w:r>
                  <w:r>
                    <w:rPr>
                      <w:rFonts w:hint="eastAsia"/>
                      <w:color w:val="auto"/>
                      <w:highlight w:val="none"/>
                    </w:rPr>
                    <w:t>等</w:t>
                  </w:r>
                  <w:r>
                    <w:rPr>
                      <w:rFonts w:hint="eastAsia"/>
                      <w:color w:val="auto"/>
                      <w:highlight w:val="none"/>
                      <w:lang w:val="en-US" w:eastAsia="zh-CN"/>
                    </w:rPr>
                    <w:t>其他区域</w:t>
                  </w:r>
                </w:p>
              </w:tc>
              <w:tc>
                <w:tcPr>
                  <w:tcW w:w="2583" w:type="pct"/>
                  <w:vAlign w:val="center"/>
                </w:tcPr>
                <w:p w14:paraId="1EC5C763">
                  <w:pPr>
                    <w:pStyle w:val="48"/>
                    <w:bidi w:val="0"/>
                    <w:rPr>
                      <w:color w:val="auto"/>
                      <w:highlight w:val="none"/>
                      <w:lang w:val="zh-CN"/>
                    </w:rPr>
                  </w:pPr>
                  <w:r>
                    <w:rPr>
                      <w:rFonts w:hint="eastAsia"/>
                      <w:color w:val="auto"/>
                      <w:highlight w:val="none"/>
                      <w:lang w:val="zh-CN"/>
                    </w:rPr>
                    <w:t>一般地面硬化</w:t>
                  </w:r>
                </w:p>
              </w:tc>
            </w:tr>
          </w:tbl>
          <w:p w14:paraId="3503DBB6">
            <w:pPr>
              <w:numPr>
                <w:ilvl w:val="0"/>
                <w:numId w:val="0"/>
              </w:numPr>
              <w:bidi w:val="0"/>
              <w:ind w:firstLine="482" w:firstLineChars="200"/>
              <w:rPr>
                <w:b/>
                <w:bCs/>
                <w:color w:val="auto"/>
                <w:highlight w:val="none"/>
              </w:rPr>
            </w:pP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b/>
                <w:bCs/>
                <w:color w:val="auto"/>
                <w:highlight w:val="none"/>
              </w:rPr>
              <w:t>跟踪监测要求</w:t>
            </w:r>
          </w:p>
          <w:p w14:paraId="03C1B8E9">
            <w:pPr>
              <w:numPr>
                <w:ilvl w:val="0"/>
                <w:numId w:val="0"/>
              </w:numPr>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w:t>
            </w:r>
            <w:r>
              <w:rPr>
                <w:rFonts w:hint="eastAsia"/>
                <w:color w:val="auto"/>
                <w:highlight w:val="none"/>
              </w:rPr>
              <w:t>污染单元</w:t>
            </w:r>
            <w:r>
              <w:rPr>
                <w:rFonts w:ascii="宋体" w:hAnsi="宋体" w:eastAsia="宋体" w:cs="宋体"/>
                <w:color w:val="auto"/>
                <w:sz w:val="24"/>
                <w:szCs w:val="24"/>
                <w:highlight w:val="none"/>
              </w:rPr>
              <w:t>污染途径简单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风险物质最大暂存量较小</w:t>
            </w:r>
            <w:r>
              <w:rPr>
                <w:rFonts w:ascii="宋体" w:hAnsi="宋体" w:eastAsia="宋体" w:cs="宋体"/>
                <w:color w:val="auto"/>
                <w:sz w:val="24"/>
                <w:szCs w:val="24"/>
                <w:highlight w:val="none"/>
              </w:rPr>
              <w:t>，</w:t>
            </w:r>
            <w:r>
              <w:rPr>
                <w:rFonts w:hint="eastAsia"/>
                <w:color w:val="auto"/>
                <w:highlight w:val="none"/>
              </w:rPr>
              <w:t>在落实好防渗、防污措施后，物料或污染物能得到有效处理，</w:t>
            </w:r>
            <w:r>
              <w:rPr>
                <w:rFonts w:ascii="宋体" w:hAnsi="宋体" w:eastAsia="宋体" w:cs="宋体"/>
                <w:color w:val="auto"/>
                <w:sz w:val="24"/>
                <w:szCs w:val="24"/>
                <w:highlight w:val="none"/>
              </w:rPr>
              <w:t>无需对土壤和地下水进行跟踪监测。</w:t>
            </w:r>
          </w:p>
          <w:p w14:paraId="71395EA7">
            <w:pPr>
              <w:numPr>
                <w:ilvl w:val="0"/>
                <w:numId w:val="0"/>
              </w:numPr>
              <w:bidi w:val="0"/>
              <w:ind w:firstLine="482" w:firstLineChars="200"/>
              <w:rPr>
                <w:b/>
                <w:bCs/>
                <w:color w:val="auto"/>
                <w:highlight w:val="none"/>
              </w:rPr>
            </w:pPr>
            <w:r>
              <w:rPr>
                <w:rFonts w:hint="eastAsia" w:cs="Times New Roman"/>
                <w:b/>
                <w:bCs/>
                <w:color w:val="auto"/>
                <w:kern w:val="2"/>
                <w:sz w:val="24"/>
                <w:szCs w:val="24"/>
                <w:lang w:val="en-US" w:eastAsia="zh-CN" w:bidi="ar-SA"/>
              </w:rPr>
              <w:t>6.</w:t>
            </w:r>
            <w:r>
              <w:rPr>
                <w:b/>
                <w:bCs/>
                <w:color w:val="auto"/>
                <w:highlight w:val="none"/>
              </w:rPr>
              <w:t>风险影响分析</w:t>
            </w:r>
          </w:p>
          <w:p w14:paraId="46D67B9A">
            <w:pPr>
              <w:ind w:firstLine="482"/>
              <w:rPr>
                <w:b/>
                <w:bCs/>
                <w:color w:val="auto"/>
                <w:highlight w:val="none"/>
              </w:rPr>
            </w:pPr>
            <w:r>
              <w:rPr>
                <w:b/>
                <w:bCs/>
                <w:color w:val="auto"/>
                <w:highlight w:val="none"/>
              </w:rPr>
              <w:t>（</w:t>
            </w:r>
            <w:r>
              <w:rPr>
                <w:rFonts w:hint="eastAsia"/>
                <w:b/>
                <w:bCs/>
                <w:color w:val="auto"/>
                <w:highlight w:val="none"/>
              </w:rPr>
              <w:t>1</w:t>
            </w:r>
            <w:r>
              <w:rPr>
                <w:b/>
                <w:bCs/>
                <w:color w:val="auto"/>
                <w:highlight w:val="none"/>
              </w:rPr>
              <w:t>）物质风险识别</w:t>
            </w:r>
          </w:p>
          <w:p w14:paraId="7F223E10">
            <w:pPr>
              <w:ind w:firstLine="480"/>
              <w:rPr>
                <w:color w:val="auto"/>
                <w:highlight w:val="none"/>
              </w:rPr>
            </w:pPr>
            <w:r>
              <w:rPr>
                <w:color w:val="auto"/>
                <w:highlight w:val="none"/>
              </w:rPr>
              <w:t>根据《建设项目环境风险评价技术导则》（HJ169-2018）附录B作为识别标准。主要涉及环境风险物质详见</w:t>
            </w:r>
            <w:r>
              <w:rPr>
                <w:rFonts w:hint="eastAsia"/>
                <w:color w:val="auto"/>
                <w:highlight w:val="none"/>
                <w:lang w:val="en-US" w:eastAsia="zh-CN"/>
              </w:rPr>
              <w:t>下表</w:t>
            </w:r>
            <w:r>
              <w:rPr>
                <w:color w:val="auto"/>
                <w:highlight w:val="none"/>
              </w:rPr>
              <w:t>。</w:t>
            </w:r>
          </w:p>
          <w:p w14:paraId="734748D4">
            <w:pPr>
              <w:pStyle w:val="52"/>
              <w:bidi w:val="0"/>
              <w:ind w:left="5518" w:leftChars="0" w:hanging="5518" w:firstLineChars="0"/>
              <w:rPr>
                <w:color w:val="auto"/>
                <w:highlight w:val="none"/>
              </w:rPr>
            </w:pPr>
            <w:r>
              <w:rPr>
                <w:rFonts w:hint="eastAsia"/>
                <w:color w:val="auto"/>
                <w:highlight w:val="none"/>
                <w:lang w:val="en-US" w:eastAsia="zh-CN"/>
              </w:rPr>
              <w:t>全厂</w:t>
            </w:r>
            <w:r>
              <w:rPr>
                <w:color w:val="auto"/>
                <w:highlight w:val="none"/>
              </w:rPr>
              <w:t>涉及危险物质及数量</w:t>
            </w:r>
          </w:p>
          <w:tbl>
            <w:tblPr>
              <w:tblStyle w:val="33"/>
              <w:tblW w:w="48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61"/>
              <w:gridCol w:w="2191"/>
              <w:gridCol w:w="954"/>
              <w:gridCol w:w="1332"/>
              <w:gridCol w:w="2001"/>
              <w:gridCol w:w="1238"/>
            </w:tblGrid>
            <w:tr w14:paraId="4A3FFF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blHeader/>
                <w:jc w:val="center"/>
              </w:trPr>
              <w:tc>
                <w:tcPr>
                  <w:tcW w:w="338" w:type="pct"/>
                  <w:tcBorders>
                    <w:tl2br w:val="nil"/>
                    <w:tr2bl w:val="nil"/>
                  </w:tcBorders>
                  <w:noWrap w:val="0"/>
                  <w:vAlign w:val="center"/>
                </w:tcPr>
                <w:p w14:paraId="0119E64E">
                  <w:pPr>
                    <w:pStyle w:val="48"/>
                    <w:tabs>
                      <w:tab w:val="left" w:pos="0"/>
                    </w:tabs>
                    <w:bidi w:val="0"/>
                    <w:rPr>
                      <w:rFonts w:hint="eastAsia" w:eastAsia="宋体"/>
                      <w:b/>
                      <w:bCs w:val="0"/>
                      <w:color w:val="auto"/>
                      <w:highlight w:val="none"/>
                      <w:lang w:val="en-US" w:eastAsia="zh-CN"/>
                    </w:rPr>
                  </w:pPr>
                  <w:r>
                    <w:rPr>
                      <w:rFonts w:hint="eastAsia"/>
                      <w:b/>
                      <w:bCs w:val="0"/>
                      <w:color w:val="auto"/>
                      <w:highlight w:val="none"/>
                      <w:lang w:val="en-US" w:eastAsia="zh-CN"/>
                    </w:rPr>
                    <w:t>序号</w:t>
                  </w:r>
                </w:p>
              </w:tc>
              <w:tc>
                <w:tcPr>
                  <w:tcW w:w="1323" w:type="pct"/>
                  <w:tcBorders>
                    <w:tl2br w:val="nil"/>
                    <w:tr2bl w:val="nil"/>
                  </w:tcBorders>
                  <w:noWrap w:val="0"/>
                  <w:vAlign w:val="center"/>
                </w:tcPr>
                <w:p w14:paraId="1F543D37">
                  <w:pPr>
                    <w:pStyle w:val="48"/>
                    <w:tabs>
                      <w:tab w:val="left" w:pos="0"/>
                    </w:tabs>
                    <w:bidi w:val="0"/>
                    <w:ind w:left="0" w:leftChars="0" w:right="0" w:rightChars="0" w:firstLine="0" w:firstLineChars="0"/>
                    <w:rPr>
                      <w:b/>
                      <w:bCs w:val="0"/>
                      <w:color w:val="auto"/>
                      <w:highlight w:val="none"/>
                    </w:rPr>
                  </w:pPr>
                  <w:r>
                    <w:rPr>
                      <w:b/>
                      <w:bCs w:val="0"/>
                      <w:color w:val="auto"/>
                      <w:highlight w:val="none"/>
                    </w:rPr>
                    <w:t>名称</w:t>
                  </w:r>
                </w:p>
              </w:tc>
              <w:tc>
                <w:tcPr>
                  <w:tcW w:w="576" w:type="pct"/>
                  <w:tcBorders>
                    <w:tl2br w:val="nil"/>
                    <w:tr2bl w:val="nil"/>
                  </w:tcBorders>
                  <w:noWrap w:val="0"/>
                  <w:vAlign w:val="center"/>
                </w:tcPr>
                <w:p w14:paraId="058B0AE6">
                  <w:pPr>
                    <w:pStyle w:val="48"/>
                    <w:tabs>
                      <w:tab w:val="left" w:pos="0"/>
                    </w:tabs>
                    <w:bidi w:val="0"/>
                    <w:rPr>
                      <w:rFonts w:hint="eastAsia" w:eastAsia="宋体"/>
                      <w:b/>
                      <w:bCs w:val="0"/>
                      <w:color w:val="auto"/>
                      <w:highlight w:val="none"/>
                      <w:lang w:val="en-US" w:eastAsia="zh-CN"/>
                    </w:rPr>
                  </w:pPr>
                  <w:r>
                    <w:rPr>
                      <w:rFonts w:hint="eastAsia"/>
                      <w:b/>
                      <w:bCs w:val="0"/>
                      <w:color w:val="auto"/>
                      <w:highlight w:val="none"/>
                      <w:lang w:val="en-US" w:eastAsia="zh-CN"/>
                    </w:rPr>
                    <w:t>单位</w:t>
                  </w:r>
                </w:p>
              </w:tc>
              <w:tc>
                <w:tcPr>
                  <w:tcW w:w="804" w:type="pct"/>
                  <w:tcBorders>
                    <w:tl2br w:val="nil"/>
                    <w:tr2bl w:val="nil"/>
                  </w:tcBorders>
                  <w:noWrap w:val="0"/>
                  <w:vAlign w:val="center"/>
                </w:tcPr>
                <w:p w14:paraId="5519225C">
                  <w:pPr>
                    <w:pStyle w:val="48"/>
                    <w:tabs>
                      <w:tab w:val="left" w:pos="0"/>
                    </w:tabs>
                    <w:bidi w:val="0"/>
                    <w:rPr>
                      <w:rFonts w:hint="eastAsia" w:eastAsia="宋体"/>
                      <w:b/>
                      <w:bCs w:val="0"/>
                      <w:color w:val="auto"/>
                      <w:highlight w:val="none"/>
                      <w:lang w:val="en-US" w:eastAsia="zh-CN"/>
                    </w:rPr>
                  </w:pPr>
                  <w:r>
                    <w:rPr>
                      <w:b/>
                      <w:bCs w:val="0"/>
                      <w:color w:val="auto"/>
                      <w:highlight w:val="none"/>
                    </w:rPr>
                    <w:t>最大储存量</w:t>
                  </w:r>
                </w:p>
              </w:tc>
              <w:tc>
                <w:tcPr>
                  <w:tcW w:w="1208" w:type="pct"/>
                  <w:tcBorders>
                    <w:tl2br w:val="nil"/>
                    <w:tr2bl w:val="nil"/>
                  </w:tcBorders>
                  <w:noWrap w:val="0"/>
                  <w:vAlign w:val="center"/>
                </w:tcPr>
                <w:p w14:paraId="1774993E">
                  <w:pPr>
                    <w:pStyle w:val="48"/>
                    <w:tabs>
                      <w:tab w:val="left" w:pos="0"/>
                    </w:tabs>
                    <w:bidi w:val="0"/>
                    <w:rPr>
                      <w:b/>
                      <w:bCs w:val="0"/>
                      <w:color w:val="auto"/>
                      <w:highlight w:val="none"/>
                    </w:rPr>
                  </w:pPr>
                  <w:r>
                    <w:rPr>
                      <w:b/>
                      <w:bCs w:val="0"/>
                      <w:color w:val="auto"/>
                      <w:highlight w:val="none"/>
                    </w:rPr>
                    <w:t>储存方式</w:t>
                  </w:r>
                </w:p>
              </w:tc>
              <w:tc>
                <w:tcPr>
                  <w:tcW w:w="747" w:type="pct"/>
                  <w:tcBorders>
                    <w:tl2br w:val="nil"/>
                    <w:tr2bl w:val="nil"/>
                  </w:tcBorders>
                  <w:noWrap w:val="0"/>
                  <w:vAlign w:val="center"/>
                </w:tcPr>
                <w:p w14:paraId="3EF4E459">
                  <w:pPr>
                    <w:pStyle w:val="48"/>
                    <w:tabs>
                      <w:tab w:val="left" w:pos="0"/>
                    </w:tabs>
                    <w:bidi w:val="0"/>
                    <w:rPr>
                      <w:b/>
                      <w:bCs w:val="0"/>
                      <w:color w:val="auto"/>
                      <w:highlight w:val="none"/>
                    </w:rPr>
                  </w:pPr>
                  <w:r>
                    <w:rPr>
                      <w:b/>
                      <w:bCs w:val="0"/>
                      <w:color w:val="auto"/>
                      <w:highlight w:val="none"/>
                    </w:rPr>
                    <w:t>存储位置</w:t>
                  </w:r>
                </w:p>
              </w:tc>
            </w:tr>
            <w:tr w14:paraId="1BCD2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338" w:type="pct"/>
                  <w:tcBorders>
                    <w:tl2br w:val="nil"/>
                    <w:tr2bl w:val="nil"/>
                  </w:tcBorders>
                  <w:noWrap w:val="0"/>
                  <w:vAlign w:val="center"/>
                </w:tcPr>
                <w:p w14:paraId="19F9B93C">
                  <w:pPr>
                    <w:pStyle w:val="48"/>
                    <w:numPr>
                      <w:ilvl w:val="0"/>
                      <w:numId w:val="25"/>
                    </w:numPr>
                    <w:bidi w:val="0"/>
                    <w:ind w:left="0" w:leftChars="0" w:right="0" w:rightChars="0" w:firstLine="0" w:firstLineChars="0"/>
                    <w:rPr>
                      <w:rFonts w:hint="eastAsia" w:ascii="Times New Roman" w:hAnsi="Times New Roman" w:eastAsia="宋体" w:cs="Times New Roman"/>
                      <w:color w:val="auto"/>
                      <w:highlight w:val="none"/>
                      <w:lang w:val="en-US" w:eastAsia="zh-CN"/>
                    </w:rPr>
                  </w:pPr>
                </w:p>
              </w:tc>
              <w:tc>
                <w:tcPr>
                  <w:tcW w:w="2191" w:type="dxa"/>
                  <w:tcBorders>
                    <w:tl2br w:val="nil"/>
                    <w:tr2bl w:val="nil"/>
                  </w:tcBorders>
                  <w:shd w:val="clear" w:color="auto" w:fill="auto"/>
                  <w:noWrap w:val="0"/>
                  <w:vAlign w:val="center"/>
                </w:tcPr>
                <w:p w14:paraId="03742BD5">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highlight w:val="none"/>
                      <w:lang w:val="en-US" w:eastAsia="zh-CN"/>
                    </w:rPr>
                    <w:t>泡电池废液</w:t>
                  </w:r>
                </w:p>
              </w:tc>
              <w:tc>
                <w:tcPr>
                  <w:tcW w:w="576" w:type="pct"/>
                  <w:tcBorders>
                    <w:tl2br w:val="nil"/>
                    <w:tr2bl w:val="nil"/>
                  </w:tcBorders>
                  <w:shd w:val="clear" w:color="auto" w:fill="auto"/>
                  <w:noWrap w:val="0"/>
                  <w:vAlign w:val="center"/>
                </w:tcPr>
                <w:p w14:paraId="166089DB">
                  <w:pPr>
                    <w:pStyle w:val="48"/>
                    <w:bidi w:val="0"/>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t</w:t>
                  </w:r>
                </w:p>
              </w:tc>
              <w:tc>
                <w:tcPr>
                  <w:tcW w:w="1332" w:type="dxa"/>
                  <w:tcBorders>
                    <w:tl2br w:val="nil"/>
                    <w:tr2bl w:val="nil"/>
                  </w:tcBorders>
                  <w:shd w:val="clear" w:color="auto" w:fill="auto"/>
                  <w:noWrap w:val="0"/>
                  <w:vAlign w:val="center"/>
                </w:tcPr>
                <w:p w14:paraId="4E9F43A2">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olor w:val="auto"/>
                      <w:sz w:val="21"/>
                      <w:szCs w:val="21"/>
                      <w:highlight w:val="none"/>
                      <w:lang w:val="en-US" w:eastAsia="zh-CN"/>
                    </w:rPr>
                    <w:t>0.54</w:t>
                  </w:r>
                </w:p>
              </w:tc>
              <w:tc>
                <w:tcPr>
                  <w:tcW w:w="1208" w:type="pct"/>
                  <w:tcBorders>
                    <w:tl2br w:val="nil"/>
                    <w:tr2bl w:val="nil"/>
                  </w:tcBorders>
                  <w:shd w:val="clear" w:color="auto" w:fill="auto"/>
                  <w:noWrap w:val="0"/>
                  <w:vAlign w:val="center"/>
                </w:tcPr>
                <w:p w14:paraId="6D73D177">
                  <w:pPr>
                    <w:pStyle w:val="48"/>
                    <w:bidi w:val="0"/>
                    <w:ind w:firstLine="0" w:firstLineChars="0"/>
                    <w:jc w:val="center"/>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highlight w:val="none"/>
                      <w:lang w:val="en-US" w:eastAsia="zh-CN"/>
                    </w:rPr>
                    <w:t>密封包装</w:t>
                  </w:r>
                </w:p>
              </w:tc>
              <w:tc>
                <w:tcPr>
                  <w:tcW w:w="747" w:type="pct"/>
                  <w:vMerge w:val="restart"/>
                  <w:tcBorders>
                    <w:tl2br w:val="nil"/>
                    <w:tr2bl w:val="nil"/>
                  </w:tcBorders>
                  <w:shd w:val="clear" w:color="auto" w:fill="auto"/>
                  <w:noWrap w:val="0"/>
                  <w:vAlign w:val="center"/>
                </w:tcPr>
                <w:p w14:paraId="336FB3D3">
                  <w:pPr>
                    <w:pStyle w:val="48"/>
                    <w:bidi w:val="0"/>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危废贮存点</w:t>
                  </w:r>
                </w:p>
              </w:tc>
            </w:tr>
            <w:tr w14:paraId="2F555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338" w:type="pct"/>
                  <w:tcBorders>
                    <w:tl2br w:val="nil"/>
                    <w:tr2bl w:val="nil"/>
                  </w:tcBorders>
                  <w:noWrap w:val="0"/>
                  <w:vAlign w:val="center"/>
                </w:tcPr>
                <w:p w14:paraId="6F65398D">
                  <w:pPr>
                    <w:pStyle w:val="48"/>
                    <w:numPr>
                      <w:ilvl w:val="0"/>
                      <w:numId w:val="25"/>
                    </w:numPr>
                    <w:bidi w:val="0"/>
                    <w:ind w:left="0" w:leftChars="0" w:right="0" w:rightChars="0" w:firstLine="0" w:firstLineChars="0"/>
                    <w:rPr>
                      <w:rFonts w:hint="eastAsia" w:ascii="Times New Roman" w:hAnsi="Times New Roman" w:eastAsia="宋体" w:cs="Times New Roman"/>
                      <w:color w:val="auto"/>
                      <w:highlight w:val="none"/>
                      <w:lang w:val="en-US" w:eastAsia="zh-CN"/>
                    </w:rPr>
                  </w:pPr>
                </w:p>
              </w:tc>
              <w:tc>
                <w:tcPr>
                  <w:tcW w:w="2191" w:type="dxa"/>
                  <w:tcBorders>
                    <w:tl2br w:val="nil"/>
                    <w:tr2bl w:val="nil"/>
                  </w:tcBorders>
                  <w:shd w:val="clear" w:color="auto" w:fill="auto"/>
                  <w:noWrap w:val="0"/>
                  <w:vAlign w:val="center"/>
                </w:tcPr>
                <w:p w14:paraId="13E4998A">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消防废液</w:t>
                  </w:r>
                </w:p>
              </w:tc>
              <w:tc>
                <w:tcPr>
                  <w:tcW w:w="576" w:type="pct"/>
                  <w:tcBorders>
                    <w:tl2br w:val="nil"/>
                    <w:tr2bl w:val="nil"/>
                  </w:tcBorders>
                  <w:shd w:val="clear" w:color="auto" w:fill="auto"/>
                  <w:noWrap w:val="0"/>
                  <w:vAlign w:val="center"/>
                </w:tcPr>
                <w:p w14:paraId="4D5AAF2E">
                  <w:pPr>
                    <w:pStyle w:val="48"/>
                    <w:bidi w:val="0"/>
                    <w:ind w:firstLine="0" w:firstLineChars="0"/>
                    <w:rPr>
                      <w:rFonts w:hint="default"/>
                      <w:color w:val="auto"/>
                      <w:highlight w:val="none"/>
                      <w:lang w:val="en-US" w:eastAsia="zh-CN"/>
                    </w:rPr>
                  </w:pPr>
                  <w:r>
                    <w:rPr>
                      <w:rFonts w:hint="eastAsia"/>
                      <w:color w:val="auto"/>
                      <w:highlight w:val="none"/>
                      <w:lang w:val="en-US" w:eastAsia="zh-CN"/>
                    </w:rPr>
                    <w:t>t</w:t>
                  </w:r>
                </w:p>
              </w:tc>
              <w:tc>
                <w:tcPr>
                  <w:tcW w:w="1332" w:type="dxa"/>
                  <w:tcBorders>
                    <w:tl2br w:val="nil"/>
                    <w:tr2bl w:val="nil"/>
                  </w:tcBorders>
                  <w:shd w:val="clear" w:color="auto" w:fill="auto"/>
                  <w:noWrap w:val="0"/>
                  <w:vAlign w:val="center"/>
                </w:tcPr>
                <w:p w14:paraId="7178B8FD">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color w:val="auto"/>
                      <w:highlight w:val="none"/>
                      <w:lang w:val="en-US" w:eastAsia="zh-CN"/>
                    </w:rPr>
                  </w:pPr>
                  <w:r>
                    <w:rPr>
                      <w:rFonts w:hint="eastAsia"/>
                      <w:color w:val="auto"/>
                      <w:sz w:val="21"/>
                      <w:szCs w:val="21"/>
                      <w:highlight w:val="none"/>
                      <w:lang w:val="en-US" w:eastAsia="zh-CN"/>
                    </w:rPr>
                    <w:t>0.002</w:t>
                  </w:r>
                </w:p>
              </w:tc>
              <w:tc>
                <w:tcPr>
                  <w:tcW w:w="1208" w:type="pct"/>
                  <w:tcBorders>
                    <w:tl2br w:val="nil"/>
                    <w:tr2bl w:val="nil"/>
                  </w:tcBorders>
                  <w:shd w:val="clear" w:color="auto" w:fill="auto"/>
                  <w:noWrap w:val="0"/>
                  <w:vAlign w:val="center"/>
                </w:tcPr>
                <w:p w14:paraId="61C3E886">
                  <w:pPr>
                    <w:pStyle w:val="48"/>
                    <w:bidi w:val="0"/>
                    <w:ind w:firstLine="0" w:firstLineChars="0"/>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highlight w:val="none"/>
                      <w:lang w:val="en-US" w:eastAsia="zh-CN"/>
                    </w:rPr>
                    <w:t>密封包装</w:t>
                  </w:r>
                </w:p>
              </w:tc>
              <w:tc>
                <w:tcPr>
                  <w:tcW w:w="747" w:type="pct"/>
                  <w:vMerge w:val="continue"/>
                  <w:tcBorders>
                    <w:tl2br w:val="nil"/>
                    <w:tr2bl w:val="nil"/>
                  </w:tcBorders>
                  <w:shd w:val="clear" w:color="auto" w:fill="auto"/>
                  <w:noWrap w:val="0"/>
                  <w:vAlign w:val="center"/>
                </w:tcPr>
                <w:p w14:paraId="06AFCFAD">
                  <w:pPr>
                    <w:pStyle w:val="48"/>
                    <w:bidi w:val="0"/>
                    <w:ind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r>
          </w:tbl>
          <w:p w14:paraId="032D90F6">
            <w:pPr>
              <w:pStyle w:val="52"/>
              <w:bidi w:val="0"/>
              <w:ind w:left="5518" w:leftChars="0" w:hanging="5518" w:firstLineChars="0"/>
              <w:rPr>
                <w:rFonts w:hint="default"/>
                <w:color w:val="auto"/>
              </w:rPr>
            </w:pPr>
            <w:r>
              <w:rPr>
                <w:rFonts w:hint="default"/>
                <w:color w:val="auto"/>
              </w:rPr>
              <w:t>项目涉及环境风险物质识别表</w:t>
            </w:r>
          </w:p>
          <w:tbl>
            <w:tblPr>
              <w:tblStyle w:val="33"/>
              <w:tblW w:w="4952"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69"/>
              <w:gridCol w:w="1737"/>
              <w:gridCol w:w="1355"/>
              <w:gridCol w:w="1177"/>
              <w:gridCol w:w="1290"/>
              <w:gridCol w:w="983"/>
              <w:gridCol w:w="1166"/>
            </w:tblGrid>
            <w:tr w14:paraId="327ED0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399" w:type="pct"/>
                  <w:vAlign w:val="center"/>
                </w:tcPr>
                <w:p w14:paraId="4E589AE2">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036" w:type="pct"/>
                  <w:vAlign w:val="center"/>
                </w:tcPr>
                <w:p w14:paraId="067972D7">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风险物质名称</w:t>
                  </w:r>
                </w:p>
              </w:tc>
              <w:tc>
                <w:tcPr>
                  <w:tcW w:w="808" w:type="pct"/>
                  <w:vAlign w:val="center"/>
                </w:tcPr>
                <w:p w14:paraId="05EB3A14">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风险物质类别</w:t>
                  </w:r>
                </w:p>
              </w:tc>
              <w:tc>
                <w:tcPr>
                  <w:tcW w:w="702" w:type="pct"/>
                  <w:vAlign w:val="center"/>
                </w:tcPr>
                <w:p w14:paraId="0102AE11">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CAS号</w:t>
                  </w:r>
                </w:p>
              </w:tc>
              <w:tc>
                <w:tcPr>
                  <w:tcW w:w="769" w:type="pct"/>
                  <w:vAlign w:val="center"/>
                </w:tcPr>
                <w:p w14:paraId="4780AEFA">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最大存在总量qn/t</w:t>
                  </w:r>
                </w:p>
              </w:tc>
              <w:tc>
                <w:tcPr>
                  <w:tcW w:w="586" w:type="pct"/>
                  <w:vAlign w:val="center"/>
                </w:tcPr>
                <w:p w14:paraId="0B4F61CF">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临界量Qn/t</w:t>
                  </w:r>
                </w:p>
              </w:tc>
              <w:tc>
                <w:tcPr>
                  <w:tcW w:w="695" w:type="pct"/>
                  <w:vAlign w:val="center"/>
                </w:tcPr>
                <w:p w14:paraId="7D3765C0">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危险物质Q值</w:t>
                  </w:r>
                </w:p>
              </w:tc>
            </w:tr>
            <w:tr w14:paraId="041B9C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399" w:type="pct"/>
                  <w:vAlign w:val="center"/>
                </w:tcPr>
                <w:p w14:paraId="02C8201D">
                  <w:pPr>
                    <w:pStyle w:val="48"/>
                    <w:keepNext w:val="0"/>
                    <w:keepLines w:val="0"/>
                    <w:pageBreakBefore w:val="0"/>
                    <w:numPr>
                      <w:ilvl w:val="0"/>
                      <w:numId w:val="26"/>
                    </w:numPr>
                    <w:kinsoku/>
                    <w:wordWrap/>
                    <w:overflowPunct/>
                    <w:topLinePunct w:val="0"/>
                    <w:autoSpaceDE/>
                    <w:autoSpaceDN/>
                    <w:bidi w:val="0"/>
                    <w:spacing w:line="240" w:lineRule="exact"/>
                    <w:ind w:left="0" w:leftChars="0" w:right="0" w:rightChars="0" w:firstLine="0" w:firstLineChars="0"/>
                    <w:rPr>
                      <w:rFonts w:hint="default" w:ascii="Times New Roman" w:hAnsi="Times New Roman" w:eastAsia="宋体" w:cs="Times New Roman"/>
                      <w:color w:val="auto"/>
                      <w:sz w:val="21"/>
                      <w:szCs w:val="21"/>
                      <w:highlight w:val="none"/>
                      <w:lang w:val="en-US" w:eastAsia="zh-CN"/>
                    </w:rPr>
                  </w:pPr>
                </w:p>
              </w:tc>
              <w:tc>
                <w:tcPr>
                  <w:tcW w:w="1036" w:type="pct"/>
                  <w:shd w:val="clear" w:color="auto" w:fill="auto"/>
                  <w:vAlign w:val="center"/>
                </w:tcPr>
                <w:p w14:paraId="0197F564">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highlight w:val="none"/>
                      <w:lang w:val="en-US" w:eastAsia="zh-CN"/>
                    </w:rPr>
                    <w:t>泡电池废液</w:t>
                  </w:r>
                </w:p>
              </w:tc>
              <w:tc>
                <w:tcPr>
                  <w:tcW w:w="808" w:type="pct"/>
                  <w:vMerge w:val="restart"/>
                  <w:shd w:val="clear" w:color="auto" w:fill="auto"/>
                  <w:vAlign w:val="center"/>
                </w:tcPr>
                <w:p w14:paraId="2BCE0C9C">
                  <w:pPr>
                    <w:pStyle w:val="48"/>
                    <w:keepNext w:val="0"/>
                    <w:keepLines w:val="0"/>
                    <w:pageBreakBefore w:val="0"/>
                    <w:kinsoku/>
                    <w:wordWrap/>
                    <w:overflowPunct/>
                    <w:topLinePunct w:val="0"/>
                    <w:autoSpaceDE/>
                    <w:autoSpaceDN/>
                    <w:bidi w:val="0"/>
                    <w:spacing w:line="24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健康危险急性毒性物质（类别2，类别3）</w:t>
                  </w:r>
                </w:p>
              </w:tc>
              <w:tc>
                <w:tcPr>
                  <w:tcW w:w="702" w:type="pct"/>
                  <w:vAlign w:val="center"/>
                </w:tcPr>
                <w:p w14:paraId="5419933C">
                  <w:pPr>
                    <w:pStyle w:val="48"/>
                    <w:keepNext w:val="0"/>
                    <w:keepLines w:val="0"/>
                    <w:pageBreakBefore w:val="0"/>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sz w:val="21"/>
                      <w:szCs w:val="21"/>
                      <w:highlight w:val="none"/>
                      <w:lang w:val="en-US" w:eastAsia="zh-CN"/>
                    </w:rPr>
                  </w:pPr>
                  <w:sdt>
                    <w:sdtPr>
                      <w:rPr>
                        <w:color w:val="auto"/>
                      </w:rPr>
                      <w:alias w:val="标点符号错误"/>
                      <w:tag w:val="reviewtag_auto"/>
                      <w:id w:val="3053656"/>
                    </w:sdtPr>
                    <w:sdtEndPr>
                      <w:rPr>
                        <w:color w:val="auto"/>
                      </w:rPr>
                    </w:sdtEndPr>
                    <w:sdtContent>
                      <w:bookmarkStart w:id="178" w:name="bkReivew3053656"/>
                      <w:r>
                        <w:rPr>
                          <w:rFonts w:hint="default" w:ascii="Times New Roman" w:hAnsi="Times New Roman" w:eastAsia="宋体" w:cs="Times New Roman"/>
                          <w:color w:val="auto"/>
                          <w:sz w:val="21"/>
                          <w:szCs w:val="21"/>
                          <w:highlight w:val="none"/>
                          <w:lang w:val="en-US" w:eastAsia="zh-CN"/>
                        </w:rPr>
                        <w:t>/</w:t>
                      </w:r>
                      <w:bookmarkEnd w:id="178"/>
                    </w:sdtContent>
                  </w:sdt>
                </w:p>
              </w:tc>
              <w:tc>
                <w:tcPr>
                  <w:tcW w:w="1290" w:type="dxa"/>
                  <w:shd w:val="clear" w:color="auto" w:fill="auto"/>
                  <w:vAlign w:val="center"/>
                </w:tcPr>
                <w:p w14:paraId="40F36D53">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0.54</w:t>
                  </w:r>
                </w:p>
              </w:tc>
              <w:tc>
                <w:tcPr>
                  <w:tcW w:w="586" w:type="pct"/>
                  <w:shd w:val="clear" w:color="auto" w:fill="auto"/>
                  <w:vAlign w:val="center"/>
                </w:tcPr>
                <w:p w14:paraId="2CA2B4AC">
                  <w:pPr>
                    <w:pStyle w:val="48"/>
                    <w:keepNext w:val="0"/>
                    <w:keepLines w:val="0"/>
                    <w:pageBreakBefore w:val="0"/>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50</w:t>
                  </w:r>
                </w:p>
              </w:tc>
              <w:tc>
                <w:tcPr>
                  <w:tcW w:w="695" w:type="pct"/>
                  <w:vAlign w:val="center"/>
                </w:tcPr>
                <w:p w14:paraId="7EF49C9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108</w:t>
                  </w:r>
                </w:p>
              </w:tc>
            </w:tr>
            <w:tr w14:paraId="6231DF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99" w:type="pct"/>
                  <w:vAlign w:val="center"/>
                </w:tcPr>
                <w:p w14:paraId="7B5467C9">
                  <w:pPr>
                    <w:pStyle w:val="48"/>
                    <w:keepNext w:val="0"/>
                    <w:keepLines w:val="0"/>
                    <w:pageBreakBefore w:val="0"/>
                    <w:numPr>
                      <w:ilvl w:val="0"/>
                      <w:numId w:val="26"/>
                    </w:numPr>
                    <w:kinsoku/>
                    <w:wordWrap/>
                    <w:overflowPunct/>
                    <w:topLinePunct w:val="0"/>
                    <w:autoSpaceDE/>
                    <w:autoSpaceDN/>
                    <w:bidi w:val="0"/>
                    <w:spacing w:line="240" w:lineRule="exact"/>
                    <w:ind w:left="0" w:leftChars="0" w:right="0" w:rightChars="0" w:firstLine="0" w:firstLineChars="0"/>
                    <w:rPr>
                      <w:rFonts w:hint="default" w:ascii="Times New Roman" w:hAnsi="Times New Roman" w:eastAsia="宋体" w:cs="Times New Roman"/>
                      <w:color w:val="auto"/>
                      <w:sz w:val="21"/>
                      <w:szCs w:val="21"/>
                      <w:highlight w:val="none"/>
                      <w:lang w:val="en-US" w:eastAsia="zh-CN"/>
                    </w:rPr>
                  </w:pPr>
                </w:p>
              </w:tc>
              <w:tc>
                <w:tcPr>
                  <w:tcW w:w="1036" w:type="pct"/>
                  <w:shd w:val="clear" w:color="auto" w:fill="auto"/>
                  <w:vAlign w:val="center"/>
                </w:tcPr>
                <w:p w14:paraId="5E6489F7">
                  <w:pPr>
                    <w:pStyle w:val="48"/>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olor w:val="auto"/>
                      <w:highlight w:val="none"/>
                      <w:lang w:val="en-US" w:eastAsia="zh-CN"/>
                    </w:rPr>
                    <w:t>消防废液</w:t>
                  </w:r>
                </w:p>
              </w:tc>
              <w:tc>
                <w:tcPr>
                  <w:tcW w:w="808" w:type="pct"/>
                  <w:vMerge w:val="continue"/>
                  <w:vAlign w:val="center"/>
                </w:tcPr>
                <w:p w14:paraId="58C47C5F">
                  <w:pPr>
                    <w:pStyle w:val="48"/>
                    <w:keepNext w:val="0"/>
                    <w:keepLines w:val="0"/>
                    <w:pageBreakBefore w:val="0"/>
                    <w:kinsoku/>
                    <w:wordWrap/>
                    <w:overflowPunct/>
                    <w:topLinePunct w:val="0"/>
                    <w:autoSpaceDE/>
                    <w:autoSpaceDN/>
                    <w:bidi w:val="0"/>
                    <w:spacing w:line="240" w:lineRule="exact"/>
                    <w:ind w:firstLine="0" w:firstLineChars="0"/>
                    <w:jc w:val="center"/>
                    <w:rPr>
                      <w:rFonts w:hint="default" w:ascii="Times New Roman" w:hAnsi="Times New Roman" w:eastAsia="宋体" w:cs="Times New Roman"/>
                      <w:color w:val="auto"/>
                      <w:sz w:val="21"/>
                      <w:szCs w:val="21"/>
                      <w:highlight w:val="none"/>
                      <w:lang w:val="en-US" w:eastAsia="zh-CN"/>
                    </w:rPr>
                  </w:pPr>
                </w:p>
              </w:tc>
              <w:tc>
                <w:tcPr>
                  <w:tcW w:w="702" w:type="pct"/>
                  <w:vAlign w:val="center"/>
                </w:tcPr>
                <w:p w14:paraId="7134D826">
                  <w:pPr>
                    <w:pStyle w:val="48"/>
                    <w:keepNext w:val="0"/>
                    <w:keepLines w:val="0"/>
                    <w:pageBreakBefore w:val="0"/>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sz w:val="21"/>
                      <w:szCs w:val="21"/>
                      <w:highlight w:val="none"/>
                      <w:lang w:val="en-US" w:eastAsia="zh-CN"/>
                    </w:rPr>
                  </w:pPr>
                  <w:sdt>
                    <w:sdtPr>
                      <w:rPr>
                        <w:color w:val="auto"/>
                      </w:rPr>
                      <w:alias w:val="标点符号错误"/>
                      <w:tag w:val="reviewtag_auto"/>
                      <w:id w:val="2011814"/>
                    </w:sdtPr>
                    <w:sdtEndPr>
                      <w:rPr>
                        <w:color w:val="auto"/>
                      </w:rPr>
                    </w:sdtEndPr>
                    <w:sdtContent>
                      <w:bookmarkStart w:id="179" w:name="bkReivew2011814"/>
                      <w:r>
                        <w:rPr>
                          <w:rFonts w:hint="default" w:ascii="Times New Roman" w:hAnsi="Times New Roman" w:eastAsia="宋体" w:cs="Times New Roman"/>
                          <w:color w:val="auto"/>
                          <w:sz w:val="21"/>
                          <w:szCs w:val="21"/>
                          <w:highlight w:val="none"/>
                          <w:lang w:val="en-US" w:eastAsia="zh-CN"/>
                        </w:rPr>
                        <w:t>/</w:t>
                      </w:r>
                      <w:bookmarkEnd w:id="179"/>
                    </w:sdtContent>
                  </w:sdt>
                </w:p>
              </w:tc>
              <w:tc>
                <w:tcPr>
                  <w:tcW w:w="1290" w:type="dxa"/>
                  <w:shd w:val="clear" w:color="auto" w:fill="auto"/>
                  <w:vAlign w:val="center"/>
                </w:tcPr>
                <w:p w14:paraId="3C015F84">
                  <w:pPr>
                    <w:pStyle w:val="48"/>
                    <w:keepNext w:val="0"/>
                    <w:keepLines w:val="0"/>
                    <w:pageBreakBefore w:val="0"/>
                    <w:tabs>
                      <w:tab w:val="left" w:pos="0"/>
                    </w:tabs>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highlight w:val="none"/>
                      <w:lang w:val="en-US" w:eastAsia="zh-CN"/>
                    </w:rPr>
                    <w:t>0.002</w:t>
                  </w:r>
                </w:p>
              </w:tc>
              <w:tc>
                <w:tcPr>
                  <w:tcW w:w="586" w:type="pct"/>
                  <w:shd w:val="clear" w:color="auto" w:fill="auto"/>
                  <w:vAlign w:val="center"/>
                </w:tcPr>
                <w:p w14:paraId="4A0469C3">
                  <w:pPr>
                    <w:pStyle w:val="48"/>
                    <w:keepNext w:val="0"/>
                    <w:keepLines w:val="0"/>
                    <w:pageBreakBefore w:val="0"/>
                    <w:kinsoku/>
                    <w:wordWrap/>
                    <w:overflowPunct/>
                    <w:topLinePunct w:val="0"/>
                    <w:autoSpaceDE/>
                    <w:autoSpaceDN/>
                    <w:bidi w:val="0"/>
                    <w:spacing w:line="240" w:lineRule="exact"/>
                    <w:ind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50</w:t>
                  </w:r>
                </w:p>
              </w:tc>
              <w:tc>
                <w:tcPr>
                  <w:tcW w:w="695" w:type="pct"/>
                  <w:vAlign w:val="center"/>
                </w:tcPr>
                <w:p w14:paraId="50AEBEC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0004</w:t>
                  </w:r>
                </w:p>
              </w:tc>
            </w:tr>
            <w:tr w14:paraId="50CE76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4304" w:type="pct"/>
                  <w:gridSpan w:val="6"/>
                  <w:vAlign w:val="center"/>
                </w:tcPr>
                <w:p w14:paraId="2D97FF0B">
                  <w:pPr>
                    <w:pStyle w:val="48"/>
                    <w:keepNext w:val="0"/>
                    <w:keepLines w:val="0"/>
                    <w:pageBreakBefore w:val="0"/>
                    <w:kinsoku/>
                    <w:wordWrap/>
                    <w:overflowPunct/>
                    <w:topLinePunct w:val="0"/>
                    <w:autoSpaceDE/>
                    <w:autoSpaceDN/>
                    <w:bidi w:val="0"/>
                    <w:spacing w:line="240" w:lineRule="exac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合计</w:t>
                  </w:r>
                </w:p>
              </w:tc>
              <w:tc>
                <w:tcPr>
                  <w:tcW w:w="695" w:type="pct"/>
                  <w:vAlign w:val="center"/>
                </w:tcPr>
                <w:p w14:paraId="6A72883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01084</w:t>
                  </w:r>
                </w:p>
              </w:tc>
            </w:tr>
          </w:tbl>
          <w:p w14:paraId="2110A745">
            <w:pPr>
              <w:ind w:firstLine="480"/>
              <w:rPr>
                <w:color w:val="auto"/>
                <w:highlight w:val="none"/>
              </w:rPr>
            </w:pPr>
            <w:r>
              <w:rPr>
                <w:color w:val="auto"/>
                <w:highlight w:val="none"/>
              </w:rPr>
              <w:t>根据《建设项目环境风险评价技术导则》（HJ169-2018）附录C，当存在多种危险物质时，则按式（C.1）计算物质总量与其临界量比值（Q）。</w:t>
            </w:r>
          </w:p>
          <w:p w14:paraId="78095E63">
            <w:pPr>
              <w:spacing w:line="360" w:lineRule="auto"/>
              <w:ind w:firstLine="422"/>
              <w:jc w:val="center"/>
              <w:rPr>
                <w:color w:val="auto"/>
                <w:szCs w:val="20"/>
                <w:highlight w:val="none"/>
              </w:rPr>
            </w:pPr>
            <w:r>
              <w:rPr>
                <w:rFonts w:hint="eastAsia"/>
                <w:b/>
                <w:bCs/>
                <w:color w:val="auto"/>
                <w:kern w:val="0"/>
                <w:position w:val="-30"/>
                <w:sz w:val="21"/>
                <w:szCs w:val="21"/>
                <w:highlight w:val="none"/>
              </w:rPr>
              <w:object>
                <v:shape id="_x0000_i1028" o:spt="75" type="#_x0000_t75" style="height:34.2pt;width:102pt;" o:ole="t" filled="f" o:preferrelative="t" stroked="f" coordsize="21600,21600">
                  <v:path/>
                  <v:fill on="f" focussize="0,0"/>
                  <v:stroke on="f" joinstyle="miter"/>
                  <v:imagedata r:id="rId34" o:title=""/>
                  <o:lock v:ext="edit" aspectratio="t"/>
                  <w10:wrap type="none"/>
                  <w10:anchorlock/>
                </v:shape>
                <o:OLEObject Type="Embed" ProgID="Equation.KSEE3" ShapeID="_x0000_i1028" DrawAspect="Content" ObjectID="_1468075728" r:id="rId33">
                  <o:LockedField>false</o:LockedField>
                </o:OLEObject>
              </w:object>
            </w:r>
          </w:p>
          <w:p w14:paraId="0FE44FF4">
            <w:pPr>
              <w:adjustRightInd w:val="0"/>
              <w:snapToGrid w:val="0"/>
              <w:spacing w:line="360" w:lineRule="auto"/>
              <w:ind w:firstLine="480"/>
              <w:jc w:val="left"/>
              <w:rPr>
                <w:color w:val="auto"/>
                <w:szCs w:val="22"/>
                <w:highlight w:val="none"/>
              </w:rPr>
            </w:pPr>
            <w:r>
              <w:rPr>
                <w:color w:val="auto"/>
                <w:szCs w:val="22"/>
                <w:highlight w:val="none"/>
              </w:rPr>
              <w:t>式中：q</w:t>
            </w:r>
            <w:r>
              <w:rPr>
                <w:color w:val="auto"/>
                <w:szCs w:val="22"/>
                <w:highlight w:val="none"/>
                <w:vertAlign w:val="subscript"/>
              </w:rPr>
              <w:t>1</w:t>
            </w:r>
            <w:r>
              <w:rPr>
                <w:color w:val="auto"/>
                <w:szCs w:val="22"/>
                <w:highlight w:val="none"/>
              </w:rPr>
              <w:t>，q</w:t>
            </w:r>
            <w:r>
              <w:rPr>
                <w:color w:val="auto"/>
                <w:szCs w:val="22"/>
                <w:highlight w:val="none"/>
                <w:vertAlign w:val="subscript"/>
              </w:rPr>
              <w:t>2</w:t>
            </w:r>
            <w:sdt>
              <w:sdtPr>
                <w:rPr>
                  <w:color w:val="auto"/>
                </w:rPr>
                <w:alias w:val="标点符号错误"/>
                <w:tag w:val="reviewtag_auto"/>
                <w:id w:val="80825"/>
              </w:sdtPr>
              <w:sdtEndPr>
                <w:rPr>
                  <w:color w:val="auto"/>
                </w:rPr>
              </w:sdtEndPr>
              <w:sdtContent>
                <w:bookmarkStart w:id="180" w:name="bkReivew80825"/>
                <w:r>
                  <w:rPr>
                    <w:color w:val="auto"/>
                    <w:szCs w:val="22"/>
                    <w:highlight w:val="none"/>
                  </w:rPr>
                  <w:t>，…，</w:t>
                </w:r>
                <w:bookmarkEnd w:id="180"/>
              </w:sdtContent>
            </w:sdt>
            <w:r>
              <w:rPr>
                <w:color w:val="auto"/>
                <w:szCs w:val="22"/>
                <w:highlight w:val="none"/>
              </w:rPr>
              <w:t>q</w:t>
            </w:r>
            <w:r>
              <w:rPr>
                <w:color w:val="auto"/>
                <w:szCs w:val="22"/>
                <w:highlight w:val="none"/>
                <w:vertAlign w:val="subscript"/>
              </w:rPr>
              <w:t>n</w:t>
            </w:r>
            <w:r>
              <w:rPr>
                <w:color w:val="auto"/>
                <w:szCs w:val="22"/>
                <w:highlight w:val="none"/>
              </w:rPr>
              <w:t>—每种危险物质的最大存在总量，t；</w:t>
            </w:r>
          </w:p>
          <w:p w14:paraId="721CB3B4">
            <w:pPr>
              <w:adjustRightInd w:val="0"/>
              <w:snapToGrid w:val="0"/>
              <w:spacing w:line="360" w:lineRule="auto"/>
              <w:ind w:firstLine="1200" w:firstLineChars="500"/>
              <w:jc w:val="left"/>
              <w:rPr>
                <w:color w:val="auto"/>
                <w:szCs w:val="22"/>
                <w:highlight w:val="none"/>
              </w:rPr>
            </w:pPr>
            <w:r>
              <w:rPr>
                <w:color w:val="auto"/>
                <w:szCs w:val="22"/>
                <w:highlight w:val="none"/>
              </w:rPr>
              <w:t>Q</w:t>
            </w:r>
            <w:r>
              <w:rPr>
                <w:color w:val="auto"/>
                <w:szCs w:val="22"/>
                <w:highlight w:val="none"/>
                <w:vertAlign w:val="subscript"/>
              </w:rPr>
              <w:t>1</w:t>
            </w:r>
            <w:r>
              <w:rPr>
                <w:color w:val="auto"/>
                <w:szCs w:val="22"/>
                <w:highlight w:val="none"/>
              </w:rPr>
              <w:t>，Q</w:t>
            </w:r>
            <w:r>
              <w:rPr>
                <w:color w:val="auto"/>
                <w:szCs w:val="22"/>
                <w:highlight w:val="none"/>
                <w:vertAlign w:val="subscript"/>
              </w:rPr>
              <w:t>2</w:t>
            </w:r>
            <w:sdt>
              <w:sdtPr>
                <w:rPr>
                  <w:color w:val="auto"/>
                </w:rPr>
                <w:alias w:val="标点符号错误"/>
                <w:tag w:val="reviewtag_auto"/>
                <w:id w:val="3162014"/>
              </w:sdtPr>
              <w:sdtEndPr>
                <w:rPr>
                  <w:color w:val="auto"/>
                </w:rPr>
              </w:sdtEndPr>
              <w:sdtContent>
                <w:bookmarkStart w:id="181" w:name="bkReivew3162014"/>
                <w:r>
                  <w:rPr>
                    <w:color w:val="auto"/>
                    <w:szCs w:val="22"/>
                    <w:highlight w:val="none"/>
                  </w:rPr>
                  <w:t>，…，</w:t>
                </w:r>
                <w:bookmarkEnd w:id="181"/>
              </w:sdtContent>
            </w:sdt>
            <w:r>
              <w:rPr>
                <w:color w:val="auto"/>
                <w:szCs w:val="22"/>
                <w:highlight w:val="none"/>
              </w:rPr>
              <w:t>Q</w:t>
            </w:r>
            <w:r>
              <w:rPr>
                <w:color w:val="auto"/>
                <w:szCs w:val="22"/>
                <w:highlight w:val="none"/>
                <w:vertAlign w:val="subscript"/>
              </w:rPr>
              <w:t>n</w:t>
            </w:r>
            <w:r>
              <w:rPr>
                <w:color w:val="auto"/>
                <w:szCs w:val="22"/>
                <w:highlight w:val="none"/>
              </w:rPr>
              <w:t>—每种危险物质的临界量，t</w:t>
            </w:r>
            <w:r>
              <w:rPr>
                <w:rFonts w:hint="eastAsia"/>
                <w:color w:val="auto"/>
                <w:szCs w:val="22"/>
                <w:highlight w:val="none"/>
              </w:rPr>
              <w:t>；</w:t>
            </w:r>
          </w:p>
          <w:p w14:paraId="658CFDB4">
            <w:pPr>
              <w:ind w:firstLine="480"/>
              <w:rPr>
                <w:color w:val="auto"/>
                <w:highlight w:val="none"/>
              </w:rPr>
            </w:pPr>
            <w:r>
              <w:rPr>
                <w:color w:val="auto"/>
                <w:highlight w:val="none"/>
              </w:rPr>
              <w:t>上式计算结果可知：Q=</w:t>
            </w:r>
            <w:r>
              <w:rPr>
                <w:rFonts w:hint="eastAsia"/>
                <w:color w:val="auto"/>
                <w:highlight w:val="none"/>
                <w:lang w:val="en-US" w:eastAsia="zh-CN"/>
              </w:rPr>
              <w:t>0.01084</w:t>
            </w:r>
            <w:r>
              <w:rPr>
                <w:color w:val="auto"/>
                <w:highlight w:val="none"/>
              </w:rPr>
              <w:t>&lt;1，</w:t>
            </w:r>
            <w:r>
              <w:rPr>
                <w:rFonts w:hint="eastAsia"/>
                <w:color w:val="auto"/>
                <w:highlight w:val="none"/>
              </w:rPr>
              <w:t>环境风险较小，</w:t>
            </w:r>
            <w:r>
              <w:rPr>
                <w:rFonts w:hint="eastAsia"/>
                <w:color w:val="auto"/>
                <w:highlight w:val="none"/>
                <w:lang w:val="en-US" w:eastAsia="zh-CN"/>
              </w:rPr>
              <w:t>进行简单分析</w:t>
            </w:r>
            <w:r>
              <w:rPr>
                <w:color w:val="auto"/>
                <w:highlight w:val="none"/>
              </w:rPr>
              <w:t>。</w:t>
            </w:r>
          </w:p>
          <w:p w14:paraId="538BBF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default"/>
                <w:b/>
                <w:bCs/>
                <w:color w:val="auto"/>
                <w:highlight w:val="none"/>
              </w:rPr>
            </w:pPr>
            <w:r>
              <w:rPr>
                <w:rFonts w:hint="eastAsia"/>
                <w:b/>
                <w:bCs/>
                <w:color w:val="auto"/>
                <w:highlight w:val="none"/>
              </w:rPr>
              <w:t>（2）环境风险识别</w:t>
            </w:r>
          </w:p>
          <w:p w14:paraId="3FF79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default"/>
                <w:b/>
                <w:bCs/>
                <w:color w:val="auto"/>
                <w:highlight w:val="none"/>
              </w:rPr>
            </w:pPr>
            <w:r>
              <w:rPr>
                <w:rFonts w:hint="eastAsia"/>
                <w:b/>
                <w:bCs/>
                <w:color w:val="auto"/>
                <w:highlight w:val="none"/>
              </w:rPr>
              <w:t>1）</w:t>
            </w:r>
            <w:r>
              <w:rPr>
                <w:rFonts w:hint="default"/>
                <w:b/>
                <w:bCs/>
                <w:color w:val="auto"/>
                <w:highlight w:val="none"/>
              </w:rPr>
              <w:t>物质危险性识别</w:t>
            </w:r>
          </w:p>
          <w:p w14:paraId="4100BF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color w:val="auto"/>
                <w:highlight w:val="none"/>
                <w:lang w:val="en-US" w:eastAsia="zh-CN"/>
              </w:rPr>
            </w:pPr>
            <w:r>
              <w:rPr>
                <w:rFonts w:hint="eastAsia"/>
                <w:color w:val="auto"/>
                <w:highlight w:val="none"/>
                <w:lang w:val="en-US" w:eastAsia="zh-CN"/>
              </w:rPr>
              <w:t>根据《建设项目环境风险评价技术导则》（HJ169-2018）附录B，企业全厂涉及的风险物质主要为</w:t>
            </w:r>
            <w:sdt>
              <w:sdtPr>
                <w:rPr>
                  <w:color w:val="auto"/>
                </w:rPr>
                <w:alias w:val="语法错误"/>
                <w:tag w:val="reviewtag_FF0000"/>
                <w:id w:val="2072502"/>
              </w:sdtPr>
              <w:sdtEndPr>
                <w:rPr>
                  <w:color w:val="auto"/>
                </w:rPr>
              </w:sdtEndPr>
              <w:sdtContent>
                <w:bookmarkStart w:id="182" w:name="bkReivew2072502"/>
                <w:r>
                  <w:rPr>
                    <w:rFonts w:hint="eastAsia"/>
                    <w:color w:val="auto"/>
                    <w:highlight w:val="none"/>
                    <w:lang w:val="en-US" w:eastAsia="zh-CN"/>
                  </w:rPr>
                  <w:t>泡</w:t>
                </w:r>
                <w:bookmarkEnd w:id="182"/>
              </w:sdtContent>
            </w:sdt>
            <w:r>
              <w:rPr>
                <w:rFonts w:hint="eastAsia"/>
                <w:color w:val="auto"/>
                <w:highlight w:val="none"/>
                <w:lang w:val="en-US" w:eastAsia="zh-CN"/>
              </w:rPr>
              <w:t>电池废液、消防废液。</w:t>
            </w:r>
          </w:p>
          <w:p w14:paraId="194F1EE9">
            <w:pPr>
              <w:ind w:firstLine="482"/>
              <w:rPr>
                <w:b/>
                <w:bCs/>
                <w:color w:val="auto"/>
                <w:highlight w:val="none"/>
              </w:rPr>
            </w:pPr>
            <w:r>
              <w:rPr>
                <w:rFonts w:hint="eastAsia"/>
                <w:b/>
                <w:bCs/>
                <w:color w:val="auto"/>
                <w:highlight w:val="none"/>
                <w:lang w:val="en-US" w:eastAsia="zh-CN"/>
              </w:rPr>
              <w:t>2）</w:t>
            </w:r>
            <w:r>
              <w:rPr>
                <w:b/>
                <w:bCs/>
                <w:color w:val="auto"/>
                <w:highlight w:val="none"/>
              </w:rPr>
              <w:t>生产系统危险性识别</w:t>
            </w:r>
          </w:p>
          <w:p w14:paraId="3CF79F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default"/>
                <w:color w:val="auto"/>
                <w:highlight w:val="none"/>
              </w:rPr>
            </w:pPr>
            <w:r>
              <w:rPr>
                <w:rFonts w:hint="eastAsia"/>
                <w:color w:val="auto"/>
                <w:highlight w:val="none"/>
                <w:lang w:val="en-US" w:eastAsia="zh-CN"/>
              </w:rPr>
              <w:t>①</w:t>
            </w:r>
            <w:r>
              <w:rPr>
                <w:rFonts w:hint="eastAsia"/>
                <w:color w:val="auto"/>
                <w:highlight w:val="none"/>
              </w:rPr>
              <w:t>泄漏事故</w:t>
            </w:r>
          </w:p>
          <w:p w14:paraId="41540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default"/>
                <w:color w:val="auto"/>
                <w:highlight w:val="none"/>
                <w:lang w:val="en-US" w:eastAsia="zh-CN"/>
              </w:rPr>
            </w:pPr>
            <w:r>
              <w:rPr>
                <w:rFonts w:hint="eastAsia"/>
                <w:color w:val="auto"/>
                <w:highlight w:val="none"/>
              </w:rPr>
              <w:t>项目</w:t>
            </w:r>
            <w:sdt>
              <w:sdtPr>
                <w:rPr>
                  <w:color w:val="auto"/>
                </w:rPr>
                <w:alias w:val="语法错误"/>
                <w:tag w:val="reviewtag_FF0000"/>
                <w:id w:val="42626"/>
              </w:sdtPr>
              <w:sdtEndPr>
                <w:rPr>
                  <w:color w:val="auto"/>
                </w:rPr>
              </w:sdtEndPr>
              <w:sdtContent>
                <w:bookmarkStart w:id="183" w:name="bkReivew42626"/>
                <w:r>
                  <w:rPr>
                    <w:rFonts w:hint="eastAsia"/>
                    <w:color w:val="auto"/>
                    <w:highlight w:val="none"/>
                    <w:lang w:val="en-US" w:eastAsia="zh-CN"/>
                  </w:rPr>
                  <w:t>泡</w:t>
                </w:r>
                <w:bookmarkEnd w:id="183"/>
              </w:sdtContent>
            </w:sdt>
            <w:r>
              <w:rPr>
                <w:rFonts w:hint="eastAsia"/>
                <w:color w:val="auto"/>
                <w:highlight w:val="none"/>
                <w:lang w:val="en-US" w:eastAsia="zh-CN"/>
              </w:rPr>
              <w:t>电池废液、消防废液在贮存、运输过程中泄漏</w:t>
            </w:r>
            <w:r>
              <w:rPr>
                <w:rFonts w:hint="eastAsia"/>
                <w:color w:val="auto"/>
                <w:highlight w:val="none"/>
              </w:rPr>
              <w:t>进入</w:t>
            </w:r>
            <w:r>
              <w:rPr>
                <w:rFonts w:hint="eastAsia"/>
                <w:color w:val="auto"/>
                <w:highlight w:val="none"/>
                <w:lang w:val="en-US" w:eastAsia="zh-CN"/>
              </w:rPr>
              <w:t>外</w:t>
            </w:r>
            <w:r>
              <w:rPr>
                <w:rFonts w:hint="eastAsia"/>
                <w:color w:val="auto"/>
                <w:highlight w:val="none"/>
              </w:rPr>
              <w:t>环境</w:t>
            </w:r>
            <w:r>
              <w:rPr>
                <w:rFonts w:hint="eastAsia"/>
                <w:color w:val="auto"/>
                <w:highlight w:val="none"/>
                <w:lang w:val="en-US" w:eastAsia="zh-CN"/>
              </w:rPr>
              <w:t>，当</w:t>
            </w:r>
            <w:r>
              <w:rPr>
                <w:rFonts w:hint="eastAsia"/>
                <w:color w:val="auto"/>
                <w:highlight w:val="none"/>
              </w:rPr>
              <w:t>未能及时有效处理</w:t>
            </w:r>
            <w:r>
              <w:rPr>
                <w:rFonts w:hint="eastAsia"/>
                <w:color w:val="auto"/>
                <w:highlight w:val="none"/>
                <w:lang w:val="en-US" w:eastAsia="zh-CN"/>
              </w:rPr>
              <w:t>时会污染泄漏地</w:t>
            </w:r>
            <w:r>
              <w:rPr>
                <w:rFonts w:hint="eastAsia"/>
                <w:color w:val="auto"/>
                <w:highlight w:val="none"/>
              </w:rPr>
              <w:t>土壤环境。</w:t>
            </w:r>
            <w:r>
              <w:rPr>
                <w:rFonts w:hint="eastAsia"/>
                <w:color w:val="auto"/>
                <w:highlight w:val="none"/>
                <w:lang w:val="en-US" w:eastAsia="zh-CN"/>
              </w:rPr>
              <w:t>若泄漏物不慎进入雨水管网，还有可能污染周边地表水环境。</w:t>
            </w:r>
          </w:p>
          <w:p w14:paraId="7A21EB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default"/>
                <w:color w:val="auto"/>
                <w:highlight w:val="none"/>
              </w:rPr>
            </w:pPr>
            <w:r>
              <w:rPr>
                <w:rFonts w:hint="eastAsia"/>
                <w:color w:val="auto"/>
                <w:highlight w:val="none"/>
                <w:lang w:val="en-US" w:eastAsia="zh-CN"/>
              </w:rPr>
              <w:t>②</w:t>
            </w:r>
            <w:r>
              <w:rPr>
                <w:rFonts w:hint="eastAsia"/>
                <w:color w:val="auto"/>
                <w:highlight w:val="none"/>
              </w:rPr>
              <w:t>火灾事故</w:t>
            </w:r>
          </w:p>
          <w:p w14:paraId="43EB6C67">
            <w:pPr>
              <w:bidi w:val="0"/>
              <w:rPr>
                <w:rFonts w:hint="default"/>
                <w:color w:val="auto"/>
                <w:highlight w:val="none"/>
              </w:rPr>
            </w:pPr>
            <w:r>
              <w:rPr>
                <w:rFonts w:hint="eastAsia"/>
                <w:color w:val="auto"/>
                <w:highlight w:val="none"/>
              </w:rPr>
              <w:t>当项目厂区内部发生火灾事故时</w:t>
            </w:r>
            <w:r>
              <w:rPr>
                <w:rFonts w:hint="eastAsia"/>
                <w:color w:val="auto"/>
                <w:highlight w:val="none"/>
                <w:lang w:eastAsia="zh-CN"/>
              </w:rPr>
              <w:t>，</w:t>
            </w:r>
            <w:r>
              <w:rPr>
                <w:rFonts w:hint="eastAsia"/>
                <w:color w:val="auto"/>
                <w:highlight w:val="none"/>
                <w:lang w:val="en-US" w:eastAsia="zh-CN"/>
              </w:rPr>
              <w:t>如可燃物质遇高热、明火燃烧引起火灾。</w:t>
            </w:r>
            <w:r>
              <w:rPr>
                <w:rFonts w:hint="eastAsia"/>
                <w:color w:val="auto"/>
                <w:highlight w:val="none"/>
              </w:rPr>
              <w:t>燃烧</w:t>
            </w:r>
            <w:r>
              <w:rPr>
                <w:rFonts w:hint="eastAsia"/>
                <w:color w:val="auto"/>
                <w:highlight w:val="none"/>
                <w:lang w:val="en-US" w:eastAsia="zh-CN"/>
              </w:rPr>
              <w:t>的</w:t>
            </w:r>
            <w:r>
              <w:rPr>
                <w:rFonts w:hint="eastAsia"/>
                <w:color w:val="auto"/>
                <w:highlight w:val="none"/>
              </w:rPr>
              <w:t>废气扩散</w:t>
            </w:r>
            <w:r>
              <w:rPr>
                <w:rFonts w:hint="eastAsia"/>
                <w:color w:val="auto"/>
                <w:highlight w:val="none"/>
                <w:lang w:val="en-US" w:eastAsia="zh-CN"/>
              </w:rPr>
              <w:t>会</w:t>
            </w:r>
            <w:r>
              <w:rPr>
                <w:rFonts w:hint="eastAsia"/>
                <w:color w:val="auto"/>
                <w:highlight w:val="none"/>
              </w:rPr>
              <w:t>影响周边大气环境。灭火过程中产生的消防废水未截留在厂区内，可能会随着地面径流进入雨水管网，直接进入外部水体环境中，污染地表水环境。污染地表水的有毒有害物质未能及时有效处理，进入地下水体和土壤，进而污染地下水和土壤环境。</w:t>
            </w:r>
          </w:p>
          <w:p w14:paraId="702223ED">
            <w:pPr>
              <w:ind w:firstLine="482"/>
              <w:rPr>
                <w:b/>
                <w:bCs/>
                <w:color w:val="auto"/>
                <w:highlight w:val="none"/>
              </w:rPr>
            </w:pPr>
            <w:r>
              <w:rPr>
                <w:rFonts w:hint="eastAsia"/>
                <w:b/>
                <w:bCs/>
                <w:color w:val="auto"/>
                <w:highlight w:val="none"/>
              </w:rPr>
              <w:t>3</w:t>
            </w:r>
            <w:r>
              <w:rPr>
                <w:b/>
                <w:bCs/>
                <w:color w:val="auto"/>
                <w:highlight w:val="none"/>
              </w:rPr>
              <w:t>）</w:t>
            </w:r>
            <w:r>
              <w:rPr>
                <w:rFonts w:hint="default"/>
                <w:b/>
                <w:bCs/>
                <w:color w:val="auto"/>
                <w:highlight w:val="none"/>
              </w:rPr>
              <w:t>危险物质向环境转移的途径识别</w:t>
            </w:r>
          </w:p>
          <w:p w14:paraId="79E00DBD">
            <w:pPr>
              <w:ind w:firstLine="480"/>
              <w:rPr>
                <w:rFonts w:hint="eastAsia"/>
                <w:color w:val="auto"/>
                <w:highlight w:val="none"/>
              </w:rPr>
            </w:pPr>
            <w:r>
              <w:rPr>
                <w:rFonts w:hint="eastAsia"/>
                <w:color w:val="auto"/>
                <w:highlight w:val="none"/>
                <w:lang w:val="en-US" w:eastAsia="zh-CN"/>
              </w:rPr>
              <w:t>企业</w:t>
            </w:r>
            <w:r>
              <w:rPr>
                <w:rFonts w:hint="default"/>
                <w:color w:val="auto"/>
                <w:highlight w:val="none"/>
              </w:rPr>
              <w:t>危险物质在事故情形下对环境的影响途径具体见</w:t>
            </w:r>
            <w:r>
              <w:rPr>
                <w:rFonts w:hint="eastAsia"/>
                <w:color w:val="auto"/>
                <w:highlight w:val="none"/>
                <w:lang w:val="en-US" w:eastAsia="zh-CN"/>
              </w:rPr>
              <w:t>下表</w:t>
            </w:r>
            <w:r>
              <w:rPr>
                <w:rFonts w:hint="eastAsia"/>
                <w:color w:val="auto"/>
                <w:highlight w:val="none"/>
              </w:rPr>
              <w:t>。</w:t>
            </w:r>
          </w:p>
          <w:p w14:paraId="189DFE61">
            <w:pPr>
              <w:pStyle w:val="52"/>
              <w:bidi w:val="0"/>
              <w:ind w:left="5518" w:leftChars="0" w:hanging="5518" w:firstLineChars="0"/>
              <w:rPr>
                <w:rFonts w:hint="default"/>
                <w:color w:val="auto"/>
              </w:rPr>
            </w:pPr>
            <w:r>
              <w:rPr>
                <w:rFonts w:hint="eastAsia"/>
                <w:color w:val="auto"/>
                <w:lang w:val="en-US" w:eastAsia="zh-CN"/>
              </w:rPr>
              <w:t>本项目</w:t>
            </w:r>
            <w:r>
              <w:rPr>
                <w:color w:val="auto"/>
              </w:rPr>
              <w:t>代表性风险事故情形设定一览表</w:t>
            </w:r>
          </w:p>
          <w:tbl>
            <w:tblPr>
              <w:tblStyle w:val="3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84"/>
              <w:gridCol w:w="1244"/>
              <w:gridCol w:w="2382"/>
              <w:gridCol w:w="1423"/>
              <w:gridCol w:w="1457"/>
              <w:gridCol w:w="1568"/>
            </w:tblGrid>
            <w:tr w14:paraId="0DBFE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227" w:type="pct"/>
                  <w:vAlign w:val="center"/>
                </w:tcPr>
                <w:p w14:paraId="69308A91">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ascii="Times New Roman" w:hAnsi="Times New Roman" w:cs="Times New Roman"/>
                      <w:b/>
                      <w:bCs/>
                      <w:snapToGrid w:val="0"/>
                      <w:color w:val="auto"/>
                      <w:kern w:val="0"/>
                      <w:sz w:val="21"/>
                      <w:szCs w:val="21"/>
                      <w:highlight w:val="none"/>
                      <w:lang w:val="zh-CN"/>
                    </w:rPr>
                  </w:pPr>
                  <w:r>
                    <w:rPr>
                      <w:rFonts w:hint="default" w:ascii="Times New Roman" w:hAnsi="Times New Roman" w:cs="Times New Roman"/>
                      <w:b/>
                      <w:bCs/>
                      <w:snapToGrid w:val="0"/>
                      <w:color w:val="auto"/>
                      <w:kern w:val="0"/>
                      <w:sz w:val="21"/>
                      <w:szCs w:val="21"/>
                      <w:highlight w:val="none"/>
                      <w:lang w:val="zh-CN"/>
                    </w:rPr>
                    <w:t>序号</w:t>
                  </w:r>
                </w:p>
              </w:tc>
              <w:tc>
                <w:tcPr>
                  <w:tcW w:w="735" w:type="pct"/>
                  <w:vAlign w:val="center"/>
                </w:tcPr>
                <w:p w14:paraId="6FD9B2B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ascii="Times New Roman" w:hAnsi="Times New Roman" w:cs="Times New Roman"/>
                      <w:b/>
                      <w:bCs/>
                      <w:snapToGrid w:val="0"/>
                      <w:color w:val="auto"/>
                      <w:kern w:val="0"/>
                      <w:sz w:val="21"/>
                      <w:szCs w:val="21"/>
                      <w:highlight w:val="none"/>
                      <w:lang w:val="zh-CN"/>
                    </w:rPr>
                  </w:pPr>
                  <w:r>
                    <w:rPr>
                      <w:rFonts w:hint="default" w:ascii="Times New Roman" w:hAnsi="Times New Roman" w:cs="Times New Roman"/>
                      <w:b/>
                      <w:bCs/>
                      <w:snapToGrid w:val="0"/>
                      <w:color w:val="auto"/>
                      <w:kern w:val="0"/>
                      <w:sz w:val="21"/>
                      <w:szCs w:val="21"/>
                      <w:highlight w:val="none"/>
                      <w:lang w:val="zh-CN"/>
                    </w:rPr>
                    <w:t>风险源</w:t>
                  </w:r>
                </w:p>
              </w:tc>
              <w:tc>
                <w:tcPr>
                  <w:tcW w:w="1408" w:type="pct"/>
                  <w:vAlign w:val="center"/>
                </w:tcPr>
                <w:p w14:paraId="6E2ABF9D">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ascii="Times New Roman" w:hAnsi="Times New Roman" w:cs="Times New Roman"/>
                      <w:b/>
                      <w:bCs/>
                      <w:snapToGrid w:val="0"/>
                      <w:color w:val="auto"/>
                      <w:kern w:val="0"/>
                      <w:sz w:val="21"/>
                      <w:szCs w:val="21"/>
                      <w:highlight w:val="none"/>
                      <w:lang w:val="zh-CN"/>
                    </w:rPr>
                  </w:pPr>
                  <w:r>
                    <w:rPr>
                      <w:rFonts w:hint="default" w:ascii="Times New Roman" w:hAnsi="Times New Roman" w:cs="Times New Roman"/>
                      <w:b/>
                      <w:bCs/>
                      <w:snapToGrid w:val="0"/>
                      <w:color w:val="auto"/>
                      <w:kern w:val="0"/>
                      <w:sz w:val="21"/>
                      <w:szCs w:val="21"/>
                      <w:highlight w:val="none"/>
                      <w:lang w:val="zh-CN"/>
                    </w:rPr>
                    <w:t>主要危险物质</w:t>
                  </w:r>
                </w:p>
              </w:tc>
              <w:tc>
                <w:tcPr>
                  <w:tcW w:w="841" w:type="pct"/>
                  <w:vAlign w:val="center"/>
                </w:tcPr>
                <w:p w14:paraId="2629A5E7">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ascii="Times New Roman" w:hAnsi="Times New Roman" w:cs="Times New Roman"/>
                      <w:b/>
                      <w:bCs/>
                      <w:snapToGrid w:val="0"/>
                      <w:color w:val="auto"/>
                      <w:kern w:val="0"/>
                      <w:sz w:val="21"/>
                      <w:szCs w:val="21"/>
                      <w:highlight w:val="none"/>
                      <w:lang w:val="zh-CN"/>
                    </w:rPr>
                  </w:pPr>
                  <w:r>
                    <w:rPr>
                      <w:rFonts w:hint="default" w:ascii="Times New Roman" w:hAnsi="Times New Roman" w:cs="Times New Roman"/>
                      <w:b/>
                      <w:bCs/>
                      <w:snapToGrid w:val="0"/>
                      <w:color w:val="auto"/>
                      <w:kern w:val="0"/>
                      <w:sz w:val="21"/>
                      <w:szCs w:val="21"/>
                      <w:highlight w:val="none"/>
                      <w:lang w:val="zh-CN"/>
                    </w:rPr>
                    <w:t>环境风险类型</w:t>
                  </w:r>
                </w:p>
              </w:tc>
              <w:tc>
                <w:tcPr>
                  <w:tcW w:w="861" w:type="pct"/>
                  <w:vAlign w:val="center"/>
                </w:tcPr>
                <w:p w14:paraId="6BAAA43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ascii="Times New Roman" w:hAnsi="Times New Roman" w:cs="Times New Roman"/>
                      <w:b/>
                      <w:bCs/>
                      <w:snapToGrid w:val="0"/>
                      <w:color w:val="auto"/>
                      <w:kern w:val="0"/>
                      <w:sz w:val="21"/>
                      <w:szCs w:val="21"/>
                      <w:highlight w:val="none"/>
                      <w:lang w:val="zh-CN"/>
                    </w:rPr>
                  </w:pPr>
                  <w:r>
                    <w:rPr>
                      <w:rFonts w:hint="default" w:ascii="Times New Roman" w:hAnsi="Times New Roman" w:cs="Times New Roman"/>
                      <w:b/>
                      <w:bCs/>
                      <w:snapToGrid w:val="0"/>
                      <w:color w:val="auto"/>
                      <w:kern w:val="0"/>
                      <w:sz w:val="21"/>
                      <w:szCs w:val="21"/>
                      <w:highlight w:val="none"/>
                      <w:lang w:val="zh-CN"/>
                    </w:rPr>
                    <w:t>环境影响途径</w:t>
                  </w:r>
                </w:p>
              </w:tc>
              <w:tc>
                <w:tcPr>
                  <w:tcW w:w="926" w:type="pct"/>
                  <w:vAlign w:val="center"/>
                </w:tcPr>
                <w:p w14:paraId="2FB51BE3">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ascii="Times New Roman" w:hAnsi="Times New Roman" w:cs="Times New Roman"/>
                      <w:b/>
                      <w:bCs/>
                      <w:snapToGrid w:val="0"/>
                      <w:color w:val="auto"/>
                      <w:kern w:val="0"/>
                      <w:sz w:val="21"/>
                      <w:szCs w:val="21"/>
                      <w:highlight w:val="none"/>
                      <w:lang w:val="zh-CN"/>
                    </w:rPr>
                  </w:pPr>
                  <w:r>
                    <w:rPr>
                      <w:rFonts w:hint="default" w:ascii="Times New Roman" w:hAnsi="Times New Roman" w:cs="Times New Roman"/>
                      <w:b/>
                      <w:bCs/>
                      <w:snapToGrid w:val="0"/>
                      <w:color w:val="auto"/>
                      <w:kern w:val="0"/>
                      <w:sz w:val="21"/>
                      <w:szCs w:val="21"/>
                      <w:highlight w:val="none"/>
                      <w:lang w:val="zh-CN"/>
                    </w:rPr>
                    <w:t>可能受影响的环境敏感目标</w:t>
                  </w:r>
                </w:p>
              </w:tc>
            </w:tr>
            <w:tr w14:paraId="133CD9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27" w:type="pct"/>
                  <w:vAlign w:val="center"/>
                </w:tcPr>
                <w:p w14:paraId="44265D9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cs="Times New Roman"/>
                      <w:snapToGrid w:val="0"/>
                      <w:color w:val="auto"/>
                      <w:kern w:val="0"/>
                      <w:sz w:val="21"/>
                      <w:szCs w:val="21"/>
                      <w:highlight w:val="none"/>
                      <w:lang w:val="en-US" w:eastAsia="zh-CN"/>
                    </w:rPr>
                  </w:pPr>
                  <w:r>
                    <w:rPr>
                      <w:rFonts w:hint="eastAsia" w:cs="Times New Roman"/>
                      <w:snapToGrid w:val="0"/>
                      <w:color w:val="auto"/>
                      <w:kern w:val="0"/>
                      <w:sz w:val="21"/>
                      <w:szCs w:val="21"/>
                      <w:highlight w:val="none"/>
                      <w:lang w:val="en-US" w:eastAsia="zh-CN"/>
                    </w:rPr>
                    <w:t>1</w:t>
                  </w:r>
                </w:p>
              </w:tc>
              <w:tc>
                <w:tcPr>
                  <w:tcW w:w="735" w:type="pct"/>
                  <w:vAlign w:val="center"/>
                </w:tcPr>
                <w:p w14:paraId="4C3E7CF5">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cs="Times New Roman"/>
                      <w:snapToGrid w:val="0"/>
                      <w:color w:val="auto"/>
                      <w:kern w:val="0"/>
                      <w:sz w:val="21"/>
                      <w:szCs w:val="21"/>
                      <w:highlight w:val="none"/>
                      <w:lang w:val="en-US" w:eastAsia="zh-CN"/>
                    </w:rPr>
                  </w:pPr>
                  <w:r>
                    <w:rPr>
                      <w:rFonts w:hint="eastAsia" w:cs="Times New Roman"/>
                      <w:snapToGrid w:val="0"/>
                      <w:color w:val="auto"/>
                      <w:kern w:val="0"/>
                      <w:sz w:val="21"/>
                      <w:szCs w:val="21"/>
                      <w:highlight w:val="none"/>
                      <w:lang w:val="en-US" w:eastAsia="zh-CN"/>
                    </w:rPr>
                    <w:t>原料仓库</w:t>
                  </w:r>
                </w:p>
              </w:tc>
              <w:tc>
                <w:tcPr>
                  <w:tcW w:w="1408" w:type="pct"/>
                  <w:vAlign w:val="center"/>
                </w:tcPr>
                <w:p w14:paraId="1176F5D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color w:val="auto"/>
                      <w:sz w:val="21"/>
                      <w:szCs w:val="21"/>
                      <w:highlight w:val="none"/>
                      <w:lang w:val="en-US" w:eastAsia="zh-CN"/>
                    </w:rPr>
                  </w:pPr>
                  <w:r>
                    <w:rPr>
                      <w:rFonts w:hint="eastAsia"/>
                      <w:color w:val="auto"/>
                      <w:sz w:val="21"/>
                      <w:szCs w:val="21"/>
                      <w:highlight w:val="none"/>
                      <w:lang w:val="en-US" w:eastAsia="zh-CN"/>
                    </w:rPr>
                    <w:t>电芯、外来电池</w:t>
                  </w:r>
                </w:p>
              </w:tc>
              <w:tc>
                <w:tcPr>
                  <w:tcW w:w="841" w:type="pct"/>
                  <w:shd w:val="clear" w:color="auto" w:fill="auto"/>
                  <w:vAlign w:val="center"/>
                </w:tcPr>
                <w:p w14:paraId="6571BE48">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baseline"/>
                    <w:rPr>
                      <w:rFonts w:hint="default" w:ascii="Times New Roman" w:hAnsi="Times New Roman" w:cs="Times New Roman"/>
                      <w:snapToGrid w:val="0"/>
                      <w:color w:val="auto"/>
                      <w:kern w:val="0"/>
                      <w:sz w:val="21"/>
                      <w:szCs w:val="21"/>
                      <w:highlight w:val="none"/>
                    </w:rPr>
                  </w:pPr>
                  <w:r>
                    <w:rPr>
                      <w:rFonts w:hint="eastAsia" w:ascii="Times New Roman" w:hAnsi="Times New Roman" w:eastAsia="宋体" w:cs="Times New Roman"/>
                      <w:snapToGrid w:val="0"/>
                      <w:color w:val="auto"/>
                      <w:kern w:val="0"/>
                      <w:sz w:val="21"/>
                      <w:szCs w:val="21"/>
                      <w:highlight w:val="none"/>
                      <w:lang w:val="en-US" w:eastAsia="zh-CN"/>
                    </w:rPr>
                    <w:t>火灾</w:t>
                  </w:r>
                </w:p>
              </w:tc>
              <w:tc>
                <w:tcPr>
                  <w:tcW w:w="861" w:type="pct"/>
                  <w:shd w:val="clear" w:color="auto" w:fill="auto"/>
                  <w:vAlign w:val="center"/>
                </w:tcPr>
                <w:p w14:paraId="0DB1291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zh-CN" w:eastAsia="zh-CN" w:bidi="ar-SA"/>
                    </w:rPr>
                  </w:pPr>
                  <w:r>
                    <w:rPr>
                      <w:rFonts w:hint="default" w:ascii="Times New Roman" w:hAnsi="Times New Roman" w:cs="Times New Roman"/>
                      <w:snapToGrid w:val="0"/>
                      <w:color w:val="auto"/>
                      <w:kern w:val="0"/>
                      <w:sz w:val="21"/>
                      <w:szCs w:val="21"/>
                      <w:highlight w:val="none"/>
                      <w:lang w:val="zh-CN"/>
                    </w:rPr>
                    <w:t>垂直入渗</w:t>
                  </w:r>
                  <w:r>
                    <w:rPr>
                      <w:rFonts w:hint="eastAsia" w:cs="Times New Roman"/>
                      <w:snapToGrid w:val="0"/>
                      <w:color w:val="auto"/>
                      <w:kern w:val="0"/>
                      <w:sz w:val="21"/>
                      <w:szCs w:val="21"/>
                      <w:highlight w:val="none"/>
                      <w:lang w:val="zh-CN"/>
                    </w:rPr>
                    <w:t>、</w:t>
                  </w:r>
                  <w:r>
                    <w:rPr>
                      <w:rFonts w:hint="eastAsia" w:cs="Times New Roman"/>
                      <w:snapToGrid w:val="0"/>
                      <w:color w:val="auto"/>
                      <w:kern w:val="0"/>
                      <w:sz w:val="21"/>
                      <w:szCs w:val="21"/>
                      <w:highlight w:val="none"/>
                      <w:lang w:val="en-US" w:eastAsia="zh-CN"/>
                    </w:rPr>
                    <w:t>大气扩散</w:t>
                  </w:r>
                </w:p>
              </w:tc>
              <w:tc>
                <w:tcPr>
                  <w:tcW w:w="926" w:type="pct"/>
                  <w:shd w:val="clear" w:color="auto" w:fill="auto"/>
                  <w:vAlign w:val="center"/>
                </w:tcPr>
                <w:p w14:paraId="407BCFF9">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zh-CN" w:eastAsia="zh-CN" w:bidi="ar-SA"/>
                    </w:rPr>
                  </w:pPr>
                  <w:r>
                    <w:rPr>
                      <w:rFonts w:hint="eastAsia" w:cs="Times New Roman"/>
                      <w:snapToGrid w:val="0"/>
                      <w:color w:val="auto"/>
                      <w:kern w:val="0"/>
                      <w:sz w:val="21"/>
                      <w:szCs w:val="21"/>
                      <w:highlight w:val="none"/>
                      <w:lang w:val="en-US" w:eastAsia="zh-CN"/>
                    </w:rPr>
                    <w:t>环境空气、</w:t>
                  </w:r>
                  <w:r>
                    <w:rPr>
                      <w:rFonts w:hint="default" w:ascii="Times New Roman" w:hAnsi="Times New Roman" w:cs="Times New Roman"/>
                      <w:snapToGrid w:val="0"/>
                      <w:color w:val="auto"/>
                      <w:kern w:val="0"/>
                      <w:sz w:val="21"/>
                      <w:szCs w:val="21"/>
                      <w:highlight w:val="none"/>
                      <w:lang w:val="zh-CN"/>
                    </w:rPr>
                    <w:t>土壤、地下水</w:t>
                  </w:r>
                </w:p>
              </w:tc>
            </w:tr>
            <w:tr w14:paraId="6C1A8B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27" w:type="pct"/>
                  <w:vAlign w:val="center"/>
                </w:tcPr>
                <w:p w14:paraId="5CC05BD4">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cs="Times New Roman"/>
                      <w:snapToGrid w:val="0"/>
                      <w:color w:val="auto"/>
                      <w:kern w:val="0"/>
                      <w:sz w:val="21"/>
                      <w:szCs w:val="21"/>
                      <w:highlight w:val="none"/>
                      <w:lang w:val="en-US" w:eastAsia="zh-CN"/>
                    </w:rPr>
                  </w:pPr>
                  <w:r>
                    <w:rPr>
                      <w:rFonts w:hint="eastAsia" w:cs="Times New Roman"/>
                      <w:snapToGrid w:val="0"/>
                      <w:color w:val="auto"/>
                      <w:kern w:val="0"/>
                      <w:sz w:val="21"/>
                      <w:szCs w:val="21"/>
                      <w:highlight w:val="none"/>
                      <w:lang w:val="en-US" w:eastAsia="zh-CN"/>
                    </w:rPr>
                    <w:t>2</w:t>
                  </w:r>
                </w:p>
              </w:tc>
              <w:tc>
                <w:tcPr>
                  <w:tcW w:w="735" w:type="pct"/>
                  <w:vAlign w:val="center"/>
                </w:tcPr>
                <w:p w14:paraId="6D3CD470">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eastAsia" w:ascii="Times New Roman" w:hAnsi="Times New Roman" w:eastAsia="宋体" w:cs="Times New Roman"/>
                      <w:snapToGrid w:val="0"/>
                      <w:color w:val="auto"/>
                      <w:kern w:val="0"/>
                      <w:sz w:val="21"/>
                      <w:szCs w:val="21"/>
                      <w:highlight w:val="none"/>
                      <w:lang w:val="en-US" w:eastAsia="zh-CN"/>
                    </w:rPr>
                  </w:pPr>
                  <w:r>
                    <w:rPr>
                      <w:rFonts w:hint="eastAsia" w:cs="Times New Roman"/>
                      <w:snapToGrid w:val="0"/>
                      <w:color w:val="auto"/>
                      <w:kern w:val="0"/>
                      <w:sz w:val="21"/>
                      <w:szCs w:val="21"/>
                      <w:highlight w:val="none"/>
                      <w:lang w:val="en-US" w:eastAsia="zh-CN"/>
                    </w:rPr>
                    <w:t>危废贮存点</w:t>
                  </w:r>
                </w:p>
              </w:tc>
              <w:tc>
                <w:tcPr>
                  <w:tcW w:w="1408" w:type="pct"/>
                  <w:vAlign w:val="center"/>
                </w:tcPr>
                <w:p w14:paraId="387FD026">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right="0" w:firstLine="0" w:firstLineChars="0"/>
                    <w:jc w:val="center"/>
                    <w:textAlignment w:val="baseline"/>
                    <w:rPr>
                      <w:rFonts w:hint="default" w:cs="Times New Roman"/>
                      <w:snapToGrid w:val="0"/>
                      <w:color w:val="auto"/>
                      <w:kern w:val="0"/>
                      <w:sz w:val="21"/>
                      <w:szCs w:val="21"/>
                      <w:highlight w:val="none"/>
                      <w:lang w:val="en-US" w:eastAsia="zh-CN"/>
                    </w:rPr>
                  </w:pPr>
                  <w:r>
                    <w:rPr>
                      <w:rFonts w:hint="eastAsia"/>
                      <w:color w:val="auto"/>
                      <w:sz w:val="21"/>
                      <w:szCs w:val="21"/>
                      <w:highlight w:val="none"/>
                      <w:lang w:val="en-US" w:eastAsia="zh-CN"/>
                    </w:rPr>
                    <w:t>泡电池废液、消防废液</w:t>
                  </w:r>
                </w:p>
              </w:tc>
              <w:tc>
                <w:tcPr>
                  <w:tcW w:w="841" w:type="pct"/>
                  <w:shd w:val="clear" w:color="auto" w:fill="auto"/>
                  <w:vAlign w:val="center"/>
                </w:tcPr>
                <w:p w14:paraId="3844705F">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cs="Times New Roman"/>
                      <w:snapToGrid w:val="0"/>
                      <w:color w:val="auto"/>
                      <w:kern w:val="0"/>
                      <w:sz w:val="21"/>
                      <w:szCs w:val="21"/>
                      <w:highlight w:val="none"/>
                    </w:rPr>
                    <w:t>泄</w:t>
                  </w:r>
                  <w:r>
                    <w:rPr>
                      <w:rFonts w:hint="default" w:ascii="Times New Roman" w:hAnsi="Times New Roman" w:cs="Times New Roman"/>
                      <w:snapToGrid w:val="0"/>
                      <w:color w:val="auto"/>
                      <w:kern w:val="0"/>
                      <w:sz w:val="21"/>
                      <w:szCs w:val="21"/>
                      <w:highlight w:val="none"/>
                      <w:lang w:val="en-US" w:eastAsia="zh-CN"/>
                    </w:rPr>
                    <w:t>漏</w:t>
                  </w:r>
                  <w:r>
                    <w:rPr>
                      <w:rFonts w:hint="eastAsia"/>
                      <w:color w:val="auto"/>
                      <w:highlight w:val="none"/>
                      <w:lang w:eastAsia="zh-CN"/>
                    </w:rPr>
                    <w:t>、</w:t>
                  </w:r>
                  <w:r>
                    <w:rPr>
                      <w:rFonts w:hint="eastAsia" w:ascii="Times New Roman" w:hAnsi="Times New Roman" w:eastAsia="宋体" w:cs="Times New Roman"/>
                      <w:snapToGrid w:val="0"/>
                      <w:color w:val="auto"/>
                      <w:kern w:val="0"/>
                      <w:sz w:val="21"/>
                      <w:szCs w:val="21"/>
                      <w:highlight w:val="none"/>
                      <w:lang w:val="en-US" w:eastAsia="zh-CN"/>
                    </w:rPr>
                    <w:t>火灾</w:t>
                  </w:r>
                </w:p>
              </w:tc>
              <w:tc>
                <w:tcPr>
                  <w:tcW w:w="861" w:type="pct"/>
                  <w:shd w:val="clear" w:color="auto" w:fill="auto"/>
                  <w:vAlign w:val="center"/>
                </w:tcPr>
                <w:p w14:paraId="0196414E">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zh-CN" w:eastAsia="zh-CN" w:bidi="ar-SA"/>
                    </w:rPr>
                  </w:pPr>
                  <w:r>
                    <w:rPr>
                      <w:rFonts w:hint="default" w:ascii="Times New Roman" w:hAnsi="Times New Roman" w:cs="Times New Roman"/>
                      <w:snapToGrid w:val="0"/>
                      <w:color w:val="auto"/>
                      <w:kern w:val="0"/>
                      <w:sz w:val="21"/>
                      <w:szCs w:val="21"/>
                      <w:highlight w:val="none"/>
                      <w:lang w:val="zh-CN"/>
                    </w:rPr>
                    <w:t>垂直入渗</w:t>
                  </w:r>
                </w:p>
              </w:tc>
              <w:tc>
                <w:tcPr>
                  <w:tcW w:w="926" w:type="pct"/>
                  <w:shd w:val="clear" w:color="auto" w:fill="auto"/>
                  <w:vAlign w:val="center"/>
                </w:tcPr>
                <w:p w14:paraId="69D5B459">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snapToGrid w:val="0"/>
                      <w:color w:val="auto"/>
                      <w:kern w:val="0"/>
                      <w:sz w:val="21"/>
                      <w:szCs w:val="21"/>
                      <w:highlight w:val="none"/>
                      <w:lang w:val="zh-CN" w:eastAsia="zh-CN" w:bidi="ar-SA"/>
                    </w:rPr>
                  </w:pPr>
                  <w:r>
                    <w:rPr>
                      <w:rFonts w:hint="default" w:ascii="Times New Roman" w:hAnsi="Times New Roman" w:cs="Times New Roman"/>
                      <w:snapToGrid w:val="0"/>
                      <w:color w:val="auto"/>
                      <w:kern w:val="0"/>
                      <w:sz w:val="21"/>
                      <w:szCs w:val="21"/>
                      <w:highlight w:val="none"/>
                      <w:lang w:val="zh-CN"/>
                    </w:rPr>
                    <w:t>土壤、地下水</w:t>
                  </w:r>
                </w:p>
              </w:tc>
            </w:tr>
          </w:tbl>
          <w:p w14:paraId="20FC02F8">
            <w:pPr>
              <w:ind w:firstLine="482"/>
              <w:rPr>
                <w:b/>
                <w:bCs/>
                <w:color w:val="auto"/>
                <w:highlight w:val="none"/>
              </w:rPr>
            </w:pPr>
            <w:r>
              <w:rPr>
                <w:b/>
                <w:bCs/>
                <w:color w:val="auto"/>
                <w:highlight w:val="none"/>
              </w:rPr>
              <w:t>（</w:t>
            </w:r>
            <w:r>
              <w:rPr>
                <w:rFonts w:hint="eastAsia"/>
                <w:b/>
                <w:bCs/>
                <w:color w:val="auto"/>
                <w:highlight w:val="none"/>
                <w:lang w:val="en-US" w:eastAsia="zh-CN"/>
              </w:rPr>
              <w:t>3</w:t>
            </w:r>
            <w:r>
              <w:rPr>
                <w:b/>
                <w:bCs/>
                <w:color w:val="auto"/>
                <w:highlight w:val="none"/>
              </w:rPr>
              <w:t>）</w:t>
            </w:r>
            <w:r>
              <w:rPr>
                <w:rFonts w:hint="default" w:ascii="Times New Roman" w:hAnsi="Times New Roman" w:cs="Times New Roman"/>
                <w:b/>
                <w:bCs/>
                <w:color w:val="auto"/>
                <w:sz w:val="24"/>
                <w:highlight w:val="none"/>
              </w:rPr>
              <w:t>环境风险防范措施</w:t>
            </w:r>
          </w:p>
          <w:p w14:paraId="2BE624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60" w:lineRule="exact"/>
              <w:ind w:left="0" w:right="0" w:firstLine="480" w:firstLineChars="200"/>
              <w:textAlignment w:val="auto"/>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①技术、工艺及装备、设备、设施方面</w:t>
            </w:r>
          </w:p>
          <w:p w14:paraId="7459226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60" w:lineRule="exact"/>
              <w:ind w:left="0" w:right="0" w:firstLine="480" w:firstLineChars="200"/>
              <w:textAlignment w:val="auto"/>
              <w:rPr>
                <w:rFonts w:hint="default" w:ascii="Times New Roman" w:hAnsi="Times New Roman" w:cs="Times New Roman"/>
                <w:color w:val="auto"/>
                <w:kern w:val="0"/>
                <w:sz w:val="24"/>
                <w:highlight w:val="none"/>
                <w:lang w:val="zh-CN"/>
              </w:rPr>
            </w:pPr>
            <w:bookmarkStart w:id="184" w:name="OLE_LINK237"/>
            <w:r>
              <w:rPr>
                <w:rFonts w:hint="default" w:ascii="Times New Roman" w:hAnsi="Times New Roman" w:cs="Times New Roman"/>
                <w:color w:val="auto"/>
                <w:kern w:val="0"/>
                <w:sz w:val="24"/>
                <w:highlight w:val="none"/>
                <w:lang w:val="zh-CN"/>
              </w:rPr>
              <w:t>为降低生产场所空气中的有害物质浓度，车间及仓库需要配备必要的</w:t>
            </w:r>
            <w:r>
              <w:rPr>
                <w:rFonts w:hint="eastAsia" w:cs="Times New Roman"/>
                <w:color w:val="auto"/>
                <w:kern w:val="0"/>
                <w:sz w:val="24"/>
                <w:highlight w:val="none"/>
                <w:lang w:val="zh-CN"/>
              </w:rPr>
              <w:t>通风</w:t>
            </w:r>
            <w:r>
              <w:rPr>
                <w:rFonts w:hint="default" w:ascii="Times New Roman" w:hAnsi="Times New Roman" w:cs="Times New Roman"/>
                <w:color w:val="auto"/>
                <w:kern w:val="0"/>
                <w:sz w:val="24"/>
                <w:highlight w:val="none"/>
                <w:lang w:val="zh-CN"/>
              </w:rPr>
              <w:t>、排风装置，以保持通风状况良好，必要时应采取机械式强制通风。确保通风装置的完好、有效。</w:t>
            </w:r>
          </w:p>
          <w:p w14:paraId="4A94274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60" w:lineRule="exact"/>
              <w:ind w:left="0" w:right="0" w:firstLine="480" w:firstLineChars="200"/>
              <w:textAlignment w:val="auto"/>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各类设备、泵机、管线、阀门、电气控制部位均应按规范设置位号、色标、输送介质、流向、开关等标志标识及安全警示标识。</w:t>
            </w:r>
          </w:p>
          <w:p w14:paraId="6BF760E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60" w:lineRule="exact"/>
              <w:ind w:left="0" w:right="0" w:firstLine="480" w:firstLineChars="200"/>
              <w:textAlignment w:val="auto"/>
              <w:rPr>
                <w:rFonts w:hint="default" w:ascii="Times New Roman" w:hAnsi="Times New Roman" w:cs="Times New Roman"/>
                <w:color w:val="auto"/>
                <w:kern w:val="0"/>
                <w:sz w:val="24"/>
                <w:highlight w:val="none"/>
                <w:lang w:val="zh-CN"/>
              </w:rPr>
            </w:pPr>
            <w:r>
              <w:rPr>
                <w:rFonts w:hint="default" w:ascii="Times New Roman" w:hAnsi="Times New Roman" w:cs="Times New Roman"/>
                <w:color w:val="auto"/>
                <w:kern w:val="0"/>
                <w:sz w:val="24"/>
                <w:highlight w:val="none"/>
                <w:lang w:val="zh-CN"/>
              </w:rPr>
              <w:t>②物料泄漏事故防范措施</w:t>
            </w:r>
          </w:p>
          <w:bookmarkEnd w:id="184"/>
          <w:p w14:paraId="7570BA7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60" w:lineRule="exact"/>
              <w:ind w:left="0" w:right="0"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泄漏事故的预防是生产和储运过程中最重要的环节，发生泄漏事故可能引起火灾和爆炸等一系列重大事故。经验表明：设备失灵和</w:t>
            </w:r>
            <w:r>
              <w:rPr>
                <w:rFonts w:hint="eastAsia" w:cs="Times New Roman"/>
                <w:color w:val="auto"/>
                <w:kern w:val="0"/>
                <w:sz w:val="24"/>
                <w:highlight w:val="none"/>
                <w:lang w:val="en-US" w:eastAsia="zh-CN"/>
              </w:rPr>
              <w:t>人为</w:t>
            </w:r>
            <w:r>
              <w:rPr>
                <w:rFonts w:hint="default" w:ascii="Times New Roman" w:hAnsi="Times New Roman" w:eastAsia="宋体" w:cs="Times New Roman"/>
                <w:color w:val="auto"/>
                <w:kern w:val="0"/>
                <w:sz w:val="24"/>
                <w:highlight w:val="none"/>
                <w:lang w:val="en-US" w:eastAsia="zh-CN"/>
              </w:rPr>
              <w:t>操作失误是引发泄漏的主要原因。因此选用较好的设备、精心设计、认真地管理和操作人员的责任心是减少泄漏事故的关键。</w:t>
            </w:r>
          </w:p>
          <w:p w14:paraId="5C6FBC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60" w:lineRule="exact"/>
              <w:ind w:left="0" w:right="0"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泄漏应急处理措施：迅速撤离泄漏污染区人员至安全区，并进行隔离，严格限制出入。切断火源。建议应急处理人员戴自给正压式呼吸器，穿防毒服。尽可能切断泄漏源。防止流入下水道等限制性空间。</w:t>
            </w:r>
          </w:p>
          <w:p w14:paraId="57B73F76">
            <w:pPr>
              <w:keepNext w:val="0"/>
              <w:keepLines w:val="0"/>
              <w:pageBreakBefore w:val="0"/>
              <w:widowControl w:val="0"/>
              <w:suppressLineNumbers w:val="0"/>
              <w:kinsoku/>
              <w:wordWrap/>
              <w:overflowPunct/>
              <w:topLinePunct w:val="0"/>
              <w:bidi w:val="0"/>
              <w:snapToGrid w:val="0"/>
              <w:spacing w:before="0" w:beforeAutospacing="0" w:after="0" w:afterAutospacing="0" w:line="460" w:lineRule="exact"/>
              <w:ind w:left="0" w:right="0"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val="en-US" w:eastAsia="zh-CN"/>
              </w:rPr>
              <w:t>③事故废水控制措施</w:t>
            </w:r>
          </w:p>
          <w:p w14:paraId="5A125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园区</w:t>
            </w:r>
            <w:r>
              <w:rPr>
                <w:rFonts w:hint="default" w:ascii="Times New Roman" w:hAnsi="Times New Roman" w:eastAsia="宋体" w:cs="Times New Roman"/>
                <w:color w:val="auto"/>
                <w:sz w:val="24"/>
                <w:szCs w:val="24"/>
                <w:highlight w:val="none"/>
                <w:lang w:val="en-US" w:eastAsia="zh-CN"/>
              </w:rPr>
              <w:t>实行雨污分流，共有1个污水排放口，</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个雨水排放口，</w:t>
            </w:r>
            <w:r>
              <w:rPr>
                <w:rFonts w:hint="eastAsia" w:cs="Times New Roman"/>
                <w:color w:val="auto"/>
                <w:sz w:val="24"/>
                <w:szCs w:val="24"/>
                <w:highlight w:val="none"/>
                <w:lang w:val="en-US" w:eastAsia="zh-CN"/>
              </w:rPr>
              <w:t>尚未</w:t>
            </w:r>
            <w:r>
              <w:rPr>
                <w:rFonts w:hint="default" w:ascii="Times New Roman" w:hAnsi="Times New Roman" w:eastAsia="宋体" w:cs="Times New Roman"/>
                <w:color w:val="auto"/>
                <w:sz w:val="24"/>
                <w:szCs w:val="24"/>
                <w:highlight w:val="none"/>
                <w:lang w:val="en-US" w:eastAsia="zh-CN"/>
              </w:rPr>
              <w:t>安装截止阀</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因企业为租赁厂房，无法挖事故池，</w:t>
            </w:r>
            <w:r>
              <w:rPr>
                <w:rFonts w:hint="eastAsia" w:cs="Times New Roman"/>
                <w:color w:val="auto"/>
                <w:sz w:val="24"/>
                <w:szCs w:val="24"/>
                <w:highlight w:val="none"/>
                <w:lang w:val="en-US" w:eastAsia="zh-CN"/>
              </w:rPr>
              <w:t>因此</w:t>
            </w:r>
            <w:r>
              <w:rPr>
                <w:rFonts w:hint="default" w:ascii="Times New Roman" w:hAnsi="Times New Roman" w:eastAsia="宋体" w:cs="Times New Roman"/>
                <w:color w:val="auto"/>
                <w:sz w:val="24"/>
                <w:szCs w:val="24"/>
                <w:highlight w:val="none"/>
                <w:lang w:val="en-US" w:eastAsia="zh-CN"/>
              </w:rPr>
              <w:t>购置</w:t>
            </w:r>
            <w:r>
              <w:rPr>
                <w:rFonts w:hint="eastAsia" w:cs="Times New Roman"/>
                <w:color w:val="auto"/>
                <w:sz w:val="24"/>
                <w:szCs w:val="24"/>
                <w:highlight w:val="none"/>
                <w:lang w:val="en-US" w:eastAsia="zh-CN"/>
              </w:rPr>
              <w:t>堵水气囊、</w:t>
            </w:r>
            <w:r>
              <w:rPr>
                <w:rFonts w:hint="default" w:ascii="Times New Roman" w:hAnsi="Times New Roman" w:eastAsia="宋体" w:cs="Times New Roman"/>
                <w:color w:val="auto"/>
                <w:sz w:val="24"/>
                <w:szCs w:val="24"/>
                <w:highlight w:val="none"/>
                <w:lang w:val="en-US" w:eastAsia="zh-CN"/>
              </w:rPr>
              <w:t>应急水囊、抽水泵等设施</w:t>
            </w:r>
            <w:r>
              <w:rPr>
                <w:rFonts w:hint="eastAsia" w:cs="Times New Roman"/>
                <w:color w:val="auto"/>
                <w:sz w:val="24"/>
                <w:szCs w:val="24"/>
                <w:highlight w:val="none"/>
                <w:lang w:val="en-US" w:eastAsia="zh-CN"/>
              </w:rPr>
              <w:t>。厂区应配备相应的应急物资、应急救援队伍，并定期演练；若</w:t>
            </w:r>
            <w:r>
              <w:rPr>
                <w:rFonts w:hint="default" w:ascii="Times New Roman" w:hAnsi="Times New Roman" w:eastAsia="宋体" w:cs="Times New Roman"/>
                <w:color w:val="auto"/>
                <w:sz w:val="24"/>
                <w:szCs w:val="24"/>
                <w:highlight w:val="none"/>
                <w:lang w:val="en-US" w:eastAsia="zh-CN"/>
              </w:rPr>
              <w:t>发生事故</w:t>
            </w:r>
            <w:sdt>
              <w:sdtPr>
                <w:rPr>
                  <w:color w:val="auto"/>
                </w:rPr>
                <w:alias w:val="语法错误"/>
                <w:tag w:val="reviewtag_auto"/>
                <w:id w:val="152411"/>
              </w:sdtPr>
              <w:sdtEndPr>
                <w:rPr>
                  <w:color w:val="auto"/>
                </w:rPr>
              </w:sdtEndPr>
              <w:sdtContent>
                <w:bookmarkStart w:id="185" w:name="bkReivew152411"/>
                <w:r>
                  <w:rPr>
                    <w:rFonts w:hint="eastAsia" w:cs="Times New Roman"/>
                    <w:color w:val="auto"/>
                    <w:sz w:val="24"/>
                    <w:szCs w:val="24"/>
                    <w:highlight w:val="none"/>
                    <w:lang w:val="en-US" w:eastAsia="zh-CN"/>
                  </w:rPr>
                  <w:t>时</w:t>
                </w:r>
                <w:bookmarkEnd w:id="185"/>
              </w:sdtContent>
            </w:sdt>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第一时间投掷堵水气囊</w:t>
            </w:r>
            <w:r>
              <w:rPr>
                <w:rFonts w:hint="default" w:ascii="Times New Roman" w:hAnsi="Times New Roman" w:eastAsia="宋体" w:cs="Times New Roman"/>
                <w:color w:val="auto"/>
                <w:sz w:val="24"/>
                <w:szCs w:val="24"/>
                <w:highlight w:val="none"/>
                <w:lang w:val="en-US" w:eastAsia="zh-CN"/>
              </w:rPr>
              <w:t>，将事故废水、消防废水截留在厂区内部，</w:t>
            </w:r>
            <w:r>
              <w:rPr>
                <w:rFonts w:hint="eastAsia" w:cs="Times New Roman"/>
                <w:color w:val="auto"/>
                <w:sz w:val="24"/>
                <w:szCs w:val="24"/>
                <w:highlight w:val="none"/>
                <w:lang w:val="en-US" w:eastAsia="zh-CN"/>
              </w:rPr>
              <w:t>并</w:t>
            </w:r>
            <w:r>
              <w:rPr>
                <w:rFonts w:hint="default" w:ascii="Times New Roman" w:hAnsi="Times New Roman" w:eastAsia="宋体" w:cs="Times New Roman"/>
                <w:color w:val="auto"/>
                <w:sz w:val="24"/>
                <w:szCs w:val="24"/>
                <w:highlight w:val="none"/>
                <w:lang w:val="en-US" w:eastAsia="zh-CN"/>
              </w:rPr>
              <w:t>利用抽水泵将</w:t>
            </w:r>
            <w:r>
              <w:rPr>
                <w:rFonts w:hint="eastAsia" w:cs="Times New Roman"/>
                <w:color w:val="auto"/>
                <w:sz w:val="24"/>
                <w:szCs w:val="24"/>
                <w:highlight w:val="none"/>
                <w:lang w:val="en-US" w:eastAsia="zh-CN"/>
              </w:rPr>
              <w:t>事故</w:t>
            </w:r>
            <w:r>
              <w:rPr>
                <w:rFonts w:hint="default" w:ascii="Times New Roman" w:hAnsi="Times New Roman" w:eastAsia="宋体" w:cs="Times New Roman"/>
                <w:color w:val="auto"/>
                <w:sz w:val="24"/>
                <w:szCs w:val="24"/>
                <w:highlight w:val="none"/>
                <w:lang w:val="en-US" w:eastAsia="zh-CN"/>
              </w:rPr>
              <w:t>废水转移至应急水囊中，</w:t>
            </w:r>
            <w:r>
              <w:rPr>
                <w:rFonts w:hint="eastAsia" w:cs="Times New Roman"/>
                <w:color w:val="auto"/>
                <w:sz w:val="24"/>
                <w:szCs w:val="24"/>
                <w:highlight w:val="none"/>
                <w:lang w:val="en-US" w:eastAsia="zh-CN"/>
              </w:rPr>
              <w:t>经检测能达到接管标准，可接管至空港污水处理厂，若达不到接管标准则需委托有资质单位处置，杜绝以任何形式进入市政雨污管网。</w:t>
            </w:r>
          </w:p>
          <w:p w14:paraId="5C7E7030">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80" w:firstLineChars="200"/>
              <w:textAlignment w:val="auto"/>
              <w:rPr>
                <w:rFonts w:hint="default"/>
                <w:color w:val="auto"/>
                <w:highlight w:val="none"/>
              </w:rPr>
            </w:pPr>
            <w:r>
              <w:rPr>
                <w:rFonts w:hint="default"/>
                <w:color w:val="auto"/>
                <w:highlight w:val="none"/>
              </w:rPr>
              <w:t>应急事故池</w:t>
            </w:r>
            <w:r>
              <w:rPr>
                <w:rFonts w:hint="eastAsia"/>
                <w:color w:val="auto"/>
                <w:highlight w:val="none"/>
              </w:rPr>
              <w:t>容量</w:t>
            </w:r>
            <w:r>
              <w:rPr>
                <w:rFonts w:hint="default"/>
                <w:color w:val="auto"/>
                <w:highlight w:val="none"/>
              </w:rPr>
              <w:t>计算参考</w:t>
            </w:r>
            <w:r>
              <w:rPr>
                <w:rFonts w:hint="eastAsia"/>
                <w:color w:val="auto"/>
                <w:highlight w:val="none"/>
              </w:rPr>
              <w:t>中国石油天然气集团有限公司企业标准</w:t>
            </w:r>
            <w:r>
              <w:rPr>
                <w:rFonts w:hint="default"/>
                <w:color w:val="auto"/>
                <w:highlight w:val="none"/>
              </w:rPr>
              <w:t>《事故状态下水体污染的预防和控制规范》（Q/SY08190-2019）</w:t>
            </w:r>
            <w:r>
              <w:rPr>
                <w:rFonts w:hint="eastAsia"/>
                <w:color w:val="auto"/>
                <w:highlight w:val="none"/>
              </w:rPr>
              <w:t>中给出的公式</w:t>
            </w:r>
            <w:r>
              <w:rPr>
                <w:rFonts w:hint="default"/>
                <w:color w:val="auto"/>
                <w:highlight w:val="none"/>
              </w:rPr>
              <w:t>，事故应急池有效容积计算如下：</w:t>
            </w:r>
          </w:p>
          <w:p w14:paraId="41FDC823">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80" w:firstLineChars="20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总</w:t>
            </w:r>
            <w:r>
              <w:rPr>
                <w:rFonts w:hint="default" w:ascii="Times New Roman" w:hAnsi="Times New Roman" w:eastAsia="宋体" w:cs="Times New Roman"/>
                <w:color w:val="auto"/>
                <w:sz w:val="24"/>
                <w:szCs w:val="24"/>
                <w:highlight w:val="none"/>
              </w:rPr>
              <w:t>＝</w:t>
            </w:r>
            <w:sdt>
              <w:sdtPr>
                <w:rPr>
                  <w:color w:val="auto"/>
                </w:rPr>
                <w:alias w:val="标点全半角格式"/>
                <w:tag w:val="reviewtag_FF0000"/>
                <w:id w:val="2031410"/>
              </w:sdtPr>
              <w:sdtEndPr>
                <w:rPr>
                  <w:color w:val="auto"/>
                </w:rPr>
              </w:sdtEndPr>
              <w:sdtContent>
                <w:bookmarkStart w:id="186" w:name="bkReivew2031410"/>
                <w:r>
                  <w:rPr>
                    <w:rFonts w:hint="default" w:ascii="Times New Roman" w:hAnsi="Times New Roman" w:eastAsia="宋体" w:cs="Times New Roman"/>
                    <w:color w:val="auto"/>
                    <w:sz w:val="24"/>
                    <w:szCs w:val="24"/>
                    <w:highlight w:val="none"/>
                  </w:rPr>
                  <w:t>（</w:t>
                </w:r>
                <w:bookmarkEnd w:id="186"/>
              </w:sdtContent>
            </w:sdt>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1</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2</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3</w:t>
            </w:r>
            <w:sdt>
              <w:sdtPr>
                <w:rPr>
                  <w:color w:val="auto"/>
                </w:rPr>
                <w:alias w:val="标点全半角格式"/>
                <w:tag w:val="reviewtag_FF0000"/>
                <w:id w:val="10346"/>
              </w:sdtPr>
              <w:sdtEndPr>
                <w:rPr>
                  <w:color w:val="auto"/>
                </w:rPr>
              </w:sdtEndPr>
              <w:sdtContent>
                <w:bookmarkStart w:id="187" w:name="bkReivew10346"/>
                <w:r>
                  <w:rPr>
                    <w:rFonts w:hint="default" w:ascii="Times New Roman" w:hAnsi="Times New Roman" w:eastAsia="宋体" w:cs="Times New Roman"/>
                    <w:color w:val="auto"/>
                    <w:sz w:val="24"/>
                    <w:szCs w:val="24"/>
                    <w:highlight w:val="none"/>
                  </w:rPr>
                  <w:t>）</w:t>
                </w:r>
                <w:bookmarkEnd w:id="187"/>
              </w:sdtContent>
            </w:sdt>
            <w:r>
              <w:rPr>
                <w:rFonts w:hint="default" w:ascii="Times New Roman" w:hAnsi="Times New Roman" w:eastAsia="宋体" w:cs="Times New Roman"/>
                <w:color w:val="auto"/>
                <w:sz w:val="24"/>
                <w:szCs w:val="24"/>
                <w:highlight w:val="none"/>
                <w:vertAlign w:val="subscript"/>
              </w:rPr>
              <w:t>max</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4</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V</w:t>
            </w:r>
            <w:r>
              <w:rPr>
                <w:rFonts w:hint="default" w:ascii="Times New Roman" w:hAnsi="Times New Roman" w:eastAsia="宋体" w:cs="Times New Roman"/>
                <w:color w:val="auto"/>
                <w:sz w:val="24"/>
                <w:szCs w:val="24"/>
                <w:highlight w:val="none"/>
                <w:vertAlign w:val="subscript"/>
              </w:rPr>
              <w:t>5</w:t>
            </w:r>
          </w:p>
          <w:p w14:paraId="7BC66C62">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default"/>
                <w:color w:val="auto"/>
                <w:highlight w:val="none"/>
              </w:rPr>
            </w:pPr>
            <w:r>
              <w:rPr>
                <w:rFonts w:hint="default"/>
                <w:color w:val="auto"/>
                <w:highlight w:val="none"/>
              </w:rPr>
              <w:t>V</w:t>
            </w:r>
            <w:r>
              <w:rPr>
                <w:rFonts w:hint="default"/>
                <w:color w:val="auto"/>
                <w:highlight w:val="none"/>
                <w:vertAlign w:val="subscript"/>
              </w:rPr>
              <w:t>1</w:t>
            </w:r>
            <w:r>
              <w:rPr>
                <w:rFonts w:hint="default"/>
                <w:color w:val="auto"/>
                <w:highlight w:val="none"/>
              </w:rPr>
              <w:t>——收集系统范围内发生事故的物料量。</w:t>
            </w:r>
            <w:r>
              <w:rPr>
                <w:rFonts w:hint="eastAsia"/>
                <w:color w:val="auto"/>
                <w:highlight w:val="none"/>
                <w:lang w:val="en-US" w:eastAsia="zh-CN"/>
              </w:rPr>
              <w:t>公司内最大物料桶为</w:t>
            </w:r>
            <w:sdt>
              <w:sdtPr>
                <w:rPr>
                  <w:color w:val="auto"/>
                </w:rPr>
                <w:alias w:val="语法错误"/>
                <w:tag w:val="reviewtag_FF0000"/>
                <w:id w:val="3181851"/>
              </w:sdtPr>
              <w:sdtEndPr>
                <w:rPr>
                  <w:color w:val="auto"/>
                </w:rPr>
              </w:sdtEndPr>
              <w:sdtContent>
                <w:bookmarkStart w:id="188" w:name="bkReivew3181851"/>
                <w:r>
                  <w:rPr>
                    <w:rFonts w:hint="eastAsia"/>
                    <w:color w:val="auto"/>
                    <w:highlight w:val="none"/>
                    <w:lang w:val="en-US" w:eastAsia="zh-CN"/>
                  </w:rPr>
                  <w:t>泡</w:t>
                </w:r>
                <w:bookmarkEnd w:id="188"/>
              </w:sdtContent>
            </w:sdt>
            <w:r>
              <w:rPr>
                <w:rFonts w:hint="eastAsia"/>
                <w:color w:val="auto"/>
                <w:highlight w:val="none"/>
                <w:lang w:val="en-US" w:eastAsia="zh-CN"/>
              </w:rPr>
              <w:t>电池桶，200L/桶，取0.2</w:t>
            </w:r>
            <w:r>
              <w:rPr>
                <w:rFonts w:hint="default"/>
                <w:color w:val="auto"/>
                <w:highlight w:val="none"/>
              </w:rPr>
              <w:t>m</w:t>
            </w:r>
            <w:r>
              <w:rPr>
                <w:rFonts w:hint="default"/>
                <w:color w:val="auto"/>
                <w:highlight w:val="none"/>
                <w:vertAlign w:val="superscript"/>
              </w:rPr>
              <w:t>3</w:t>
            </w:r>
            <w:r>
              <w:rPr>
                <w:rFonts w:hint="default"/>
                <w:color w:val="auto"/>
                <w:highlight w:val="none"/>
              </w:rPr>
              <w:t>；</w:t>
            </w:r>
          </w:p>
          <w:p w14:paraId="4E5B69FB">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default"/>
                <w:color w:val="auto"/>
                <w:highlight w:val="none"/>
              </w:rPr>
            </w:pPr>
            <w:r>
              <w:rPr>
                <w:rFonts w:hint="default"/>
                <w:color w:val="auto"/>
                <w:highlight w:val="none"/>
              </w:rPr>
              <w:t>V</w:t>
            </w:r>
            <w:r>
              <w:rPr>
                <w:rFonts w:hint="default"/>
                <w:color w:val="auto"/>
                <w:highlight w:val="none"/>
                <w:vertAlign w:val="subscript"/>
              </w:rPr>
              <w:t>2</w:t>
            </w:r>
            <w:r>
              <w:rPr>
                <w:rFonts w:hint="default"/>
                <w:color w:val="auto"/>
                <w:highlight w:val="none"/>
              </w:rPr>
              <w:t>——发生事故的储罐、装置的消防水量。</w:t>
            </w:r>
          </w:p>
          <w:p w14:paraId="0B4097A9">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default"/>
                <w:color w:val="auto"/>
                <w:highlight w:val="none"/>
              </w:rPr>
            </w:pPr>
            <w:r>
              <w:rPr>
                <w:rFonts w:hint="default"/>
                <w:color w:val="auto"/>
                <w:highlight w:val="none"/>
              </w:rPr>
              <w:t>发生事故时的消防水量，m</w:t>
            </w:r>
            <w:r>
              <w:rPr>
                <w:rFonts w:hint="default"/>
                <w:color w:val="auto"/>
                <w:highlight w:val="none"/>
                <w:vertAlign w:val="superscript"/>
              </w:rPr>
              <w:t>3</w:t>
            </w:r>
            <w:r>
              <w:rPr>
                <w:rFonts w:hint="default"/>
                <w:color w:val="auto"/>
                <w:highlight w:val="none"/>
              </w:rPr>
              <w:t>：</w:t>
            </w:r>
          </w:p>
          <w:p w14:paraId="0DE4CF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0" w:firstLineChars="0"/>
              <w:jc w:val="center"/>
              <w:textAlignment w:val="auto"/>
              <w:rPr>
                <w:rFonts w:hint="default"/>
                <w:color w:val="auto"/>
                <w:highlight w:val="none"/>
              </w:rPr>
            </w:pPr>
            <w:r>
              <w:rPr>
                <w:rFonts w:hint="default"/>
                <w:color w:val="auto"/>
                <w:highlight w:val="none"/>
              </w:rPr>
              <w:drawing>
                <wp:inline distT="0" distB="0" distL="114300" distR="114300">
                  <wp:extent cx="913765" cy="28448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5"/>
                          <a:stretch>
                            <a:fillRect/>
                          </a:stretch>
                        </pic:blipFill>
                        <pic:spPr>
                          <a:xfrm>
                            <a:off x="0" y="0"/>
                            <a:ext cx="913765" cy="284480"/>
                          </a:xfrm>
                          <a:prstGeom prst="rect">
                            <a:avLst/>
                          </a:prstGeom>
                          <a:noFill/>
                          <a:ln>
                            <a:noFill/>
                          </a:ln>
                        </pic:spPr>
                      </pic:pic>
                    </a:graphicData>
                  </a:graphic>
                </wp:inline>
              </w:drawing>
            </w:r>
          </w:p>
          <w:p w14:paraId="57E43754">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default"/>
                <w:color w:val="auto"/>
                <w:highlight w:val="none"/>
              </w:rPr>
            </w:pPr>
            <w:r>
              <w:rPr>
                <w:rFonts w:hint="default"/>
                <w:color w:val="auto"/>
                <w:highlight w:val="none"/>
              </w:rPr>
              <w:t>Q</w:t>
            </w:r>
            <w:r>
              <w:rPr>
                <w:rFonts w:hint="default"/>
                <w:color w:val="auto"/>
                <w:highlight w:val="none"/>
                <w:vertAlign w:val="subscript"/>
              </w:rPr>
              <w:t>消</w:t>
            </w:r>
            <w:r>
              <w:rPr>
                <w:rFonts w:hint="default"/>
                <w:color w:val="auto"/>
                <w:highlight w:val="none"/>
              </w:rPr>
              <w:t>——发生事故的储罐</w:t>
            </w:r>
            <w:r>
              <w:rPr>
                <w:rFonts w:hint="eastAsia"/>
                <w:color w:val="auto"/>
                <w:highlight w:val="none"/>
                <w:lang w:val="en-US" w:eastAsia="zh-CN"/>
              </w:rPr>
              <w:t>或</w:t>
            </w:r>
            <w:r>
              <w:rPr>
                <w:rFonts w:hint="default"/>
                <w:color w:val="auto"/>
                <w:highlight w:val="none"/>
              </w:rPr>
              <w:t>装置同时使用的消防设施给水流量，m</w:t>
            </w:r>
            <w:r>
              <w:rPr>
                <w:rFonts w:hint="default"/>
                <w:color w:val="auto"/>
                <w:highlight w:val="none"/>
                <w:vertAlign w:val="superscript"/>
              </w:rPr>
              <w:t>3</w:t>
            </w:r>
            <w:r>
              <w:rPr>
                <w:rFonts w:hint="default"/>
                <w:color w:val="auto"/>
                <w:highlight w:val="none"/>
              </w:rPr>
              <w:t>/h；</w:t>
            </w:r>
          </w:p>
          <w:p w14:paraId="07B38606">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default"/>
                <w:color w:val="auto"/>
                <w:highlight w:val="none"/>
              </w:rPr>
            </w:pPr>
            <w:r>
              <w:rPr>
                <w:rFonts w:hint="default"/>
                <w:color w:val="auto"/>
                <w:highlight w:val="none"/>
              </w:rPr>
              <w:t>t消——消防设施对应的设计消防历时，h；</w:t>
            </w:r>
          </w:p>
          <w:p w14:paraId="62B5D327">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default"/>
                <w:color w:val="auto"/>
                <w:highlight w:val="none"/>
              </w:rPr>
            </w:pPr>
            <w:r>
              <w:rPr>
                <w:rFonts w:hint="eastAsia"/>
                <w:color w:val="auto"/>
                <w:highlight w:val="none"/>
              </w:rPr>
              <w:t>企业</w:t>
            </w:r>
            <w:r>
              <w:rPr>
                <w:rFonts w:hint="default"/>
                <w:color w:val="auto"/>
                <w:highlight w:val="none"/>
              </w:rPr>
              <w:t>室内消</w:t>
            </w:r>
            <w:r>
              <w:rPr>
                <w:rFonts w:hint="eastAsia"/>
                <w:color w:val="auto"/>
                <w:highlight w:val="none"/>
              </w:rPr>
              <w:t>火</w:t>
            </w:r>
            <w:r>
              <w:rPr>
                <w:rFonts w:hint="default"/>
                <w:color w:val="auto"/>
                <w:highlight w:val="none"/>
              </w:rPr>
              <w:t>栓设计最大流量为</w:t>
            </w:r>
            <w:r>
              <w:rPr>
                <w:rFonts w:hint="eastAsia"/>
                <w:color w:val="auto"/>
                <w:highlight w:val="none"/>
                <w:lang w:val="en-US" w:eastAsia="zh-CN"/>
              </w:rPr>
              <w:t>20</w:t>
            </w:r>
            <w:r>
              <w:rPr>
                <w:rFonts w:hint="default"/>
                <w:color w:val="auto"/>
                <w:highlight w:val="none"/>
              </w:rPr>
              <w:t>L/s</w:t>
            </w:r>
            <w:r>
              <w:rPr>
                <w:rFonts w:hint="eastAsia"/>
                <w:color w:val="auto"/>
                <w:highlight w:val="none"/>
              </w:rPr>
              <w:t>，</w:t>
            </w:r>
            <w:r>
              <w:rPr>
                <w:rFonts w:hint="default"/>
                <w:color w:val="auto"/>
                <w:highlight w:val="none"/>
              </w:rPr>
              <w:t>火灾延续时间以</w:t>
            </w:r>
            <w:r>
              <w:rPr>
                <w:rFonts w:hint="eastAsia"/>
                <w:color w:val="auto"/>
                <w:highlight w:val="none"/>
                <w:lang w:val="en-US" w:eastAsia="zh-CN"/>
              </w:rPr>
              <w:t>2</w:t>
            </w:r>
            <w:r>
              <w:rPr>
                <w:rFonts w:hint="default"/>
                <w:color w:val="auto"/>
                <w:highlight w:val="none"/>
              </w:rPr>
              <w:t>h计，则消防水量V</w:t>
            </w:r>
            <w:r>
              <w:rPr>
                <w:rFonts w:hint="default"/>
                <w:color w:val="auto"/>
                <w:highlight w:val="none"/>
                <w:vertAlign w:val="subscript"/>
              </w:rPr>
              <w:t>2</w:t>
            </w:r>
            <w:r>
              <w:rPr>
                <w:rFonts w:hint="default"/>
                <w:color w:val="auto"/>
                <w:highlight w:val="none"/>
              </w:rPr>
              <w:t>＝</w:t>
            </w:r>
            <w:r>
              <w:rPr>
                <w:rFonts w:hint="eastAsia"/>
                <w:color w:val="auto"/>
                <w:highlight w:val="none"/>
                <w:lang w:val="en-US" w:eastAsia="zh-CN"/>
              </w:rPr>
              <w:t>20</w:t>
            </w:r>
            <w:r>
              <w:rPr>
                <w:rFonts w:hint="default"/>
                <w:color w:val="auto"/>
                <w:highlight w:val="none"/>
              </w:rPr>
              <w:t>×2×3600×0.001＝</w:t>
            </w:r>
            <w:r>
              <w:rPr>
                <w:rFonts w:hint="eastAsia"/>
                <w:color w:val="auto"/>
                <w:highlight w:val="none"/>
                <w:lang w:val="en-US" w:eastAsia="zh-CN"/>
              </w:rPr>
              <w:t>144</w:t>
            </w:r>
            <w:r>
              <w:rPr>
                <w:rFonts w:hint="default"/>
                <w:color w:val="auto"/>
                <w:highlight w:val="none"/>
              </w:rPr>
              <w:t>m</w:t>
            </w:r>
            <w:r>
              <w:rPr>
                <w:rFonts w:hint="default"/>
                <w:color w:val="auto"/>
                <w:highlight w:val="none"/>
                <w:vertAlign w:val="superscript"/>
              </w:rPr>
              <w:t>3</w:t>
            </w:r>
            <w:r>
              <w:rPr>
                <w:rFonts w:hint="default"/>
                <w:color w:val="auto"/>
                <w:highlight w:val="none"/>
              </w:rPr>
              <w:t>；</w:t>
            </w:r>
          </w:p>
          <w:p w14:paraId="6CD23486">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textAlignment w:val="auto"/>
              <w:rPr>
                <w:rFonts w:hint="eastAsia" w:eastAsia="宋体"/>
                <w:color w:val="auto"/>
                <w:highlight w:val="none"/>
                <w:lang w:eastAsia="zh-CN"/>
              </w:rPr>
            </w:pPr>
            <w:r>
              <w:rPr>
                <w:rFonts w:hint="default"/>
                <w:color w:val="auto"/>
                <w:highlight w:val="none"/>
              </w:rPr>
              <w:t>V</w:t>
            </w:r>
            <w:r>
              <w:rPr>
                <w:rFonts w:hint="default"/>
                <w:color w:val="auto"/>
                <w:highlight w:val="none"/>
                <w:vertAlign w:val="subscript"/>
              </w:rPr>
              <w:t>3</w:t>
            </w:r>
            <w:r>
              <w:rPr>
                <w:rFonts w:hint="default"/>
                <w:color w:val="auto"/>
                <w:highlight w:val="none"/>
              </w:rPr>
              <w:t>——发生事故时可以</w:t>
            </w:r>
            <w:r>
              <w:rPr>
                <w:rFonts w:hint="eastAsia"/>
                <w:color w:val="auto"/>
                <w:highlight w:val="none"/>
              </w:rPr>
              <w:t>转输</w:t>
            </w:r>
            <w:r>
              <w:rPr>
                <w:rFonts w:hint="default"/>
                <w:color w:val="auto"/>
                <w:highlight w:val="none"/>
              </w:rPr>
              <w:t>到其他储存或处理设施的物料量</w:t>
            </w:r>
            <w:r>
              <w:rPr>
                <w:rFonts w:hint="eastAsia"/>
                <w:color w:val="auto"/>
                <w:highlight w:val="none"/>
                <w:lang w:eastAsia="zh-CN"/>
              </w:rPr>
              <w:t>；</w:t>
            </w:r>
            <w:r>
              <w:rPr>
                <w:rFonts w:hint="eastAsia"/>
                <w:color w:val="auto"/>
                <w:highlight w:val="none"/>
                <w:lang w:val="en-US" w:eastAsia="zh-CN"/>
              </w:rPr>
              <w:t>本</w:t>
            </w:r>
            <w:r>
              <w:rPr>
                <w:rFonts w:hint="eastAsia"/>
                <w:color w:val="auto"/>
                <w:highlight w:val="none"/>
                <w:lang w:eastAsia="zh-CN"/>
              </w:rPr>
              <w:t>项目</w:t>
            </w:r>
            <w:r>
              <w:rPr>
                <w:color w:val="auto"/>
                <w:highlight w:val="none"/>
              </w:rPr>
              <w:t>V</w:t>
            </w:r>
            <w:r>
              <w:rPr>
                <w:rFonts w:hint="eastAsia"/>
                <w:color w:val="auto"/>
                <w:highlight w:val="none"/>
                <w:vertAlign w:val="subscript"/>
                <w:lang w:val="en-US" w:eastAsia="zh-CN"/>
              </w:rPr>
              <w:t>3</w:t>
            </w:r>
            <w:r>
              <w:rPr>
                <w:color w:val="auto"/>
                <w:highlight w:val="none"/>
              </w:rPr>
              <w:t>=</w:t>
            </w:r>
            <w:r>
              <w:rPr>
                <w:rFonts w:hint="eastAsia"/>
                <w:color w:val="auto"/>
                <w:highlight w:val="none"/>
                <w:lang w:val="en-US" w:eastAsia="zh-CN"/>
              </w:rPr>
              <w:t>0</w:t>
            </w:r>
            <w:r>
              <w:rPr>
                <w:color w:val="auto"/>
                <w:highlight w:val="none"/>
              </w:rPr>
              <w:t>m</w:t>
            </w:r>
            <w:r>
              <w:rPr>
                <w:color w:val="auto"/>
                <w:highlight w:val="none"/>
                <w:vertAlign w:val="superscript"/>
              </w:rPr>
              <w:t>3</w:t>
            </w:r>
            <w:r>
              <w:rPr>
                <w:color w:val="auto"/>
                <w:highlight w:val="none"/>
              </w:rPr>
              <w:t>；</w:t>
            </w:r>
          </w:p>
          <w:p w14:paraId="5365D20F">
            <w:pPr>
              <w:bidi w:val="0"/>
              <w:rPr>
                <w:color w:val="auto"/>
                <w:highlight w:val="none"/>
              </w:rPr>
            </w:pPr>
            <w:r>
              <w:rPr>
                <w:color w:val="auto"/>
                <w:highlight w:val="none"/>
              </w:rPr>
              <w:t>V</w:t>
            </w:r>
            <w:r>
              <w:rPr>
                <w:color w:val="auto"/>
                <w:highlight w:val="none"/>
                <w:vertAlign w:val="subscript"/>
              </w:rPr>
              <w:t>4</w:t>
            </w:r>
            <w:r>
              <w:rPr>
                <w:color w:val="auto"/>
                <w:highlight w:val="none"/>
              </w:rPr>
              <w:t>——</w:t>
            </w:r>
            <w:r>
              <w:rPr>
                <w:rFonts w:hint="eastAsia"/>
                <w:color w:val="auto"/>
                <w:highlight w:val="none"/>
              </w:rPr>
              <w:t>发生事故时必须进入事故排水收集系统的生产废水量</w:t>
            </w:r>
            <w:r>
              <w:rPr>
                <w:color w:val="auto"/>
                <w:highlight w:val="none"/>
              </w:rPr>
              <w:t>，</w:t>
            </w:r>
            <w:r>
              <w:rPr>
                <w:rFonts w:hint="eastAsia"/>
                <w:color w:val="auto"/>
                <w:highlight w:val="none"/>
                <w:lang w:val="en-US" w:eastAsia="zh-CN"/>
              </w:rPr>
              <w:t>本</w:t>
            </w:r>
            <w:r>
              <w:rPr>
                <w:rFonts w:hint="eastAsia"/>
                <w:color w:val="auto"/>
                <w:highlight w:val="none"/>
                <w:lang w:eastAsia="zh-CN"/>
              </w:rPr>
              <w:t>项目</w:t>
            </w:r>
            <w:r>
              <w:rPr>
                <w:color w:val="auto"/>
                <w:highlight w:val="none"/>
              </w:rPr>
              <w:t>V</w:t>
            </w:r>
            <w:r>
              <w:rPr>
                <w:rFonts w:hint="eastAsia"/>
                <w:color w:val="auto"/>
                <w:highlight w:val="none"/>
                <w:vertAlign w:val="subscript"/>
                <w:lang w:val="en-US" w:eastAsia="zh-CN"/>
              </w:rPr>
              <w:t>4</w:t>
            </w:r>
            <w:r>
              <w:rPr>
                <w:color w:val="auto"/>
                <w:highlight w:val="none"/>
              </w:rPr>
              <w:t>=</w:t>
            </w:r>
            <w:r>
              <w:rPr>
                <w:rFonts w:hint="eastAsia"/>
                <w:color w:val="auto"/>
                <w:highlight w:val="none"/>
                <w:lang w:val="en-US" w:eastAsia="zh-CN"/>
              </w:rPr>
              <w:t>0</w:t>
            </w:r>
            <w:r>
              <w:rPr>
                <w:color w:val="auto"/>
                <w:highlight w:val="none"/>
              </w:rPr>
              <w:t>m</w:t>
            </w:r>
            <w:r>
              <w:rPr>
                <w:color w:val="auto"/>
                <w:highlight w:val="none"/>
                <w:vertAlign w:val="superscript"/>
              </w:rPr>
              <w:t>3</w:t>
            </w:r>
            <w:r>
              <w:rPr>
                <w:color w:val="auto"/>
                <w:highlight w:val="none"/>
              </w:rPr>
              <w:t>；</w:t>
            </w:r>
          </w:p>
          <w:p w14:paraId="181FFE2F">
            <w:pPr>
              <w:bidi w:val="0"/>
              <w:rPr>
                <w:color w:val="auto"/>
                <w:highlight w:val="none"/>
              </w:rPr>
            </w:pPr>
            <w:r>
              <w:rPr>
                <w:color w:val="auto"/>
                <w:highlight w:val="none"/>
              </w:rPr>
              <w:t>V</w:t>
            </w:r>
            <w:r>
              <w:rPr>
                <w:color w:val="auto"/>
                <w:highlight w:val="none"/>
                <w:vertAlign w:val="subscript"/>
              </w:rPr>
              <w:t>5</w:t>
            </w:r>
            <w:r>
              <w:rPr>
                <w:color w:val="auto"/>
                <w:highlight w:val="none"/>
              </w:rPr>
              <w:t>——</w:t>
            </w:r>
            <w:r>
              <w:rPr>
                <w:rFonts w:hint="eastAsia"/>
                <w:color w:val="auto"/>
                <w:highlight w:val="none"/>
              </w:rPr>
              <w:t>发生事故时可能进入该收集系统的降雨量</w:t>
            </w:r>
            <w:r>
              <w:rPr>
                <w:color w:val="auto"/>
                <w:highlight w:val="none"/>
              </w:rPr>
              <w:t>，m</w:t>
            </w:r>
            <w:r>
              <w:rPr>
                <w:color w:val="auto"/>
                <w:highlight w:val="none"/>
                <w:vertAlign w:val="superscript"/>
              </w:rPr>
              <w:t>3</w:t>
            </w:r>
            <w:r>
              <w:rPr>
                <w:color w:val="auto"/>
                <w:highlight w:val="none"/>
              </w:rPr>
              <w:t>；</w:t>
            </w:r>
          </w:p>
          <w:p w14:paraId="1CA6EF4D">
            <w:pPr>
              <w:bidi w:val="0"/>
              <w:jc w:val="center"/>
              <w:rPr>
                <w:color w:val="auto"/>
                <w:highlight w:val="none"/>
              </w:rPr>
            </w:pPr>
            <w:r>
              <w:rPr>
                <w:color w:val="auto"/>
                <w:highlight w:val="none"/>
              </w:rPr>
              <w:t>V5</w:t>
            </w:r>
            <w:r>
              <w:rPr>
                <w:rFonts w:hint="eastAsia"/>
                <w:color w:val="auto"/>
                <w:highlight w:val="none"/>
                <w:lang w:eastAsia="zh-CN"/>
              </w:rPr>
              <w:t>=</w:t>
            </w:r>
            <w:r>
              <w:rPr>
                <w:rFonts w:hint="eastAsia"/>
                <w:color w:val="auto"/>
                <w:highlight w:val="none"/>
                <w:lang w:val="en-US" w:eastAsia="zh-CN"/>
              </w:rPr>
              <w:t>10</w:t>
            </w:r>
            <w:r>
              <w:rPr>
                <w:color w:val="auto"/>
                <w:highlight w:val="none"/>
              </w:rPr>
              <w:t>qF</w:t>
            </w:r>
          </w:p>
          <w:p w14:paraId="32D2F9C5">
            <w:pPr>
              <w:bidi w:val="0"/>
              <w:rPr>
                <w:color w:val="auto"/>
                <w:highlight w:val="none"/>
              </w:rPr>
            </w:pPr>
            <w:r>
              <w:rPr>
                <w:color w:val="auto"/>
                <w:highlight w:val="none"/>
              </w:rPr>
              <w:t>q——降雨强度，mm；按平均日降雨量：</w:t>
            </w:r>
          </w:p>
          <w:p w14:paraId="44190DD3">
            <w:pPr>
              <w:bidi w:val="0"/>
              <w:jc w:val="center"/>
              <w:rPr>
                <w:color w:val="auto"/>
                <w:highlight w:val="none"/>
              </w:rPr>
            </w:pPr>
            <w:r>
              <w:rPr>
                <w:color w:val="auto"/>
                <w:highlight w:val="none"/>
              </w:rPr>
              <w:t>q=</w:t>
            </w:r>
            <w:r>
              <w:rPr>
                <w:rFonts w:hint="eastAsia"/>
                <w:color w:val="auto"/>
                <w:highlight w:val="none"/>
              </w:rPr>
              <w:t>q</w:t>
            </w:r>
            <w:r>
              <w:rPr>
                <w:color w:val="auto"/>
                <w:highlight w:val="none"/>
              </w:rPr>
              <w:t>a/n</w:t>
            </w:r>
          </w:p>
          <w:p w14:paraId="6B78CB44">
            <w:pPr>
              <w:bidi w:val="0"/>
              <w:rPr>
                <w:color w:val="auto"/>
                <w:highlight w:val="none"/>
              </w:rPr>
            </w:pPr>
            <w:r>
              <w:rPr>
                <w:color w:val="auto"/>
                <w:highlight w:val="none"/>
              </w:rPr>
              <w:t>qa——年平均降雨量，mm，南京市年平均降雨量为</w:t>
            </w:r>
            <w:r>
              <w:rPr>
                <w:rFonts w:hint="eastAsia"/>
                <w:color w:val="auto"/>
                <w:highlight w:val="none"/>
                <w:lang w:val="en-US" w:eastAsia="zh-CN"/>
              </w:rPr>
              <w:t>1059.3</w:t>
            </w:r>
            <w:r>
              <w:rPr>
                <w:color w:val="auto"/>
                <w:highlight w:val="none"/>
              </w:rPr>
              <w:t>mm；</w:t>
            </w:r>
          </w:p>
          <w:p w14:paraId="329551DE">
            <w:pPr>
              <w:bidi w:val="0"/>
              <w:rPr>
                <w:color w:val="auto"/>
                <w:highlight w:val="none"/>
              </w:rPr>
            </w:pPr>
            <w:r>
              <w:rPr>
                <w:color w:val="auto"/>
                <w:highlight w:val="none"/>
              </w:rPr>
              <w:t>n——年平均降雨日数，南京市年平均</w:t>
            </w:r>
            <w:r>
              <w:rPr>
                <w:rFonts w:hint="eastAsia"/>
                <w:color w:val="auto"/>
                <w:highlight w:val="none"/>
                <w:lang w:eastAsia="zh-CN"/>
              </w:rPr>
              <w:t>降雨日</w:t>
            </w:r>
            <w:r>
              <w:rPr>
                <w:color w:val="auto"/>
                <w:highlight w:val="none"/>
              </w:rPr>
              <w:t>数为11</w:t>
            </w:r>
            <w:r>
              <w:rPr>
                <w:rFonts w:hint="eastAsia"/>
                <w:color w:val="auto"/>
                <w:highlight w:val="none"/>
                <w:lang w:val="en-US" w:eastAsia="zh-CN"/>
              </w:rPr>
              <w:t>3</w:t>
            </w:r>
            <w:r>
              <w:rPr>
                <w:color w:val="auto"/>
                <w:highlight w:val="none"/>
              </w:rPr>
              <w:t>天；</w:t>
            </w:r>
          </w:p>
          <w:p w14:paraId="54C98648">
            <w:pPr>
              <w:bidi w:val="0"/>
              <w:rPr>
                <w:color w:val="auto"/>
                <w:highlight w:val="none"/>
              </w:rPr>
            </w:pPr>
            <w:r>
              <w:rPr>
                <w:color w:val="auto"/>
                <w:highlight w:val="none"/>
              </w:rPr>
              <w:t>F——必须进入事故废水收集系统的雨水汇水面积，</w:t>
            </w:r>
            <w:r>
              <w:rPr>
                <w:rFonts w:hint="eastAsia"/>
                <w:color w:val="auto"/>
                <w:highlight w:val="none"/>
                <w:lang w:val="en-US" w:eastAsia="zh-CN"/>
              </w:rPr>
              <w:t>ha</w:t>
            </w:r>
            <w:r>
              <w:rPr>
                <w:color w:val="auto"/>
                <w:highlight w:val="none"/>
              </w:rPr>
              <w:t>；</w:t>
            </w:r>
            <w:r>
              <w:rPr>
                <w:rFonts w:hint="eastAsia"/>
                <w:color w:val="auto"/>
                <w:highlight w:val="none"/>
                <w:lang w:val="en-US" w:eastAsia="zh-CN"/>
              </w:rPr>
              <w:t>本项目汇水面积以占地面积计，约0.07ha</w:t>
            </w:r>
            <w:r>
              <w:rPr>
                <w:color w:val="auto"/>
                <w:highlight w:val="none"/>
              </w:rPr>
              <w:t>。</w:t>
            </w:r>
          </w:p>
          <w:p w14:paraId="565429C9">
            <w:pPr>
              <w:bidi w:val="0"/>
              <w:jc w:val="both"/>
              <w:rPr>
                <w:rFonts w:hint="default" w:eastAsia="宋体"/>
                <w:color w:val="auto"/>
                <w:highlight w:val="none"/>
                <w:lang w:val="en-US" w:eastAsia="zh-CN"/>
              </w:rPr>
            </w:pPr>
            <w:r>
              <w:rPr>
                <w:rFonts w:hint="eastAsia"/>
                <w:color w:val="auto"/>
                <w:highlight w:val="none"/>
                <w:lang w:val="en-US" w:eastAsia="zh-CN"/>
              </w:rPr>
              <w:t>因此，</w:t>
            </w:r>
            <w:r>
              <w:rPr>
                <w:color w:val="auto"/>
                <w:highlight w:val="none"/>
              </w:rPr>
              <w:t>V5=</w:t>
            </w:r>
            <w:r>
              <w:rPr>
                <w:rFonts w:hint="eastAsia"/>
                <w:color w:val="auto"/>
                <w:highlight w:val="none"/>
                <w:lang w:val="en-US" w:eastAsia="zh-CN"/>
              </w:rPr>
              <w:t>6.56</w:t>
            </w:r>
            <w:r>
              <w:rPr>
                <w:color w:val="auto"/>
                <w:highlight w:val="none"/>
              </w:rPr>
              <w:t>m</w:t>
            </w:r>
            <w:r>
              <w:rPr>
                <w:color w:val="auto"/>
                <w:highlight w:val="none"/>
                <w:vertAlign w:val="superscript"/>
              </w:rPr>
              <w:t>3</w:t>
            </w:r>
            <w:r>
              <w:rPr>
                <w:color w:val="auto"/>
                <w:highlight w:val="none"/>
              </w:rPr>
              <w:t>。</w:t>
            </w:r>
          </w:p>
          <w:p w14:paraId="596AFE95">
            <w:pPr>
              <w:bidi w:val="0"/>
              <w:rPr>
                <w:color w:val="auto"/>
                <w:highlight w:val="none"/>
              </w:rPr>
            </w:pPr>
            <w:r>
              <w:rPr>
                <w:color w:val="auto"/>
                <w:highlight w:val="none"/>
              </w:rPr>
              <w:t>根据事故废水存储设施总有效容积计算公式，V</w:t>
            </w:r>
            <w:r>
              <w:rPr>
                <w:color w:val="auto"/>
                <w:highlight w:val="none"/>
                <w:vertAlign w:val="subscript"/>
              </w:rPr>
              <w:t>总</w:t>
            </w:r>
            <w:r>
              <w:rPr>
                <w:color w:val="auto"/>
                <w:highlight w:val="none"/>
              </w:rPr>
              <w:t>＝（V</w:t>
            </w:r>
            <w:r>
              <w:rPr>
                <w:color w:val="auto"/>
                <w:highlight w:val="none"/>
                <w:vertAlign w:val="subscript"/>
              </w:rPr>
              <w:t>1</w:t>
            </w:r>
            <w:r>
              <w:rPr>
                <w:color w:val="auto"/>
                <w:highlight w:val="none"/>
              </w:rPr>
              <w:t>＋V</w:t>
            </w:r>
            <w:r>
              <w:rPr>
                <w:color w:val="auto"/>
                <w:highlight w:val="none"/>
                <w:vertAlign w:val="subscript"/>
              </w:rPr>
              <w:t>2</w:t>
            </w:r>
            <w:r>
              <w:rPr>
                <w:color w:val="auto"/>
                <w:highlight w:val="none"/>
              </w:rPr>
              <w:t>－V</w:t>
            </w:r>
            <w:r>
              <w:rPr>
                <w:color w:val="auto"/>
                <w:highlight w:val="none"/>
                <w:vertAlign w:val="subscript"/>
              </w:rPr>
              <w:t>3</w:t>
            </w:r>
            <w:r>
              <w:rPr>
                <w:color w:val="auto"/>
                <w:highlight w:val="none"/>
              </w:rPr>
              <w:t>）max＋V</w:t>
            </w:r>
            <w:r>
              <w:rPr>
                <w:color w:val="auto"/>
                <w:highlight w:val="none"/>
                <w:vertAlign w:val="subscript"/>
              </w:rPr>
              <w:t>4</w:t>
            </w:r>
            <w:r>
              <w:rPr>
                <w:color w:val="auto"/>
                <w:highlight w:val="none"/>
              </w:rPr>
              <w:t>+V</w:t>
            </w:r>
            <w:r>
              <w:rPr>
                <w:color w:val="auto"/>
                <w:highlight w:val="none"/>
                <w:vertAlign w:val="subscript"/>
              </w:rPr>
              <w:t>5</w:t>
            </w:r>
            <w:r>
              <w:rPr>
                <w:color w:val="auto"/>
                <w:highlight w:val="none"/>
              </w:rPr>
              <w:t>＝</w:t>
            </w:r>
            <w:r>
              <w:rPr>
                <w:rFonts w:hint="eastAsia"/>
                <w:color w:val="auto"/>
                <w:highlight w:val="none"/>
                <w:lang w:val="en-US" w:eastAsia="zh-CN"/>
              </w:rPr>
              <w:t>150.76</w:t>
            </w:r>
            <w:r>
              <w:rPr>
                <w:color w:val="auto"/>
                <w:highlight w:val="none"/>
              </w:rPr>
              <w:t>m</w:t>
            </w:r>
            <w:r>
              <w:rPr>
                <w:color w:val="auto"/>
                <w:highlight w:val="none"/>
                <w:vertAlign w:val="superscript"/>
              </w:rPr>
              <w:t>3</w:t>
            </w:r>
            <w:r>
              <w:rPr>
                <w:color w:val="auto"/>
                <w:highlight w:val="none"/>
              </w:rPr>
              <w:t>。</w:t>
            </w:r>
          </w:p>
          <w:p w14:paraId="236CB1AB">
            <w:pPr>
              <w:bidi w:val="0"/>
              <w:rPr>
                <w:rFonts w:hint="default"/>
                <w:color w:val="auto"/>
                <w:highlight w:val="none"/>
                <w:lang w:val="en-US" w:eastAsia="zh-CN"/>
              </w:rPr>
            </w:pPr>
            <w:r>
              <w:rPr>
                <w:rFonts w:hint="eastAsia"/>
                <w:color w:val="auto"/>
                <w:highlight w:val="none"/>
                <w:lang w:val="en-US" w:eastAsia="zh-CN"/>
              </w:rPr>
              <w:t>综上，</w:t>
            </w:r>
            <w:r>
              <w:rPr>
                <w:rFonts w:hint="eastAsia"/>
                <w:color w:val="auto"/>
                <w:highlight w:val="none"/>
              </w:rPr>
              <w:t>企业</w:t>
            </w:r>
            <w:r>
              <w:rPr>
                <w:rFonts w:hint="eastAsia"/>
                <w:color w:val="auto"/>
                <w:highlight w:val="none"/>
                <w:lang w:val="en-US" w:eastAsia="zh-CN"/>
              </w:rPr>
              <w:t>设置160m</w:t>
            </w:r>
            <w:r>
              <w:rPr>
                <w:rFonts w:hint="eastAsia"/>
                <w:color w:val="auto"/>
                <w:highlight w:val="none"/>
                <w:vertAlign w:val="superscript"/>
                <w:lang w:val="en-US" w:eastAsia="zh-CN"/>
              </w:rPr>
              <w:t>3</w:t>
            </w:r>
            <w:r>
              <w:rPr>
                <w:rFonts w:hint="eastAsia"/>
                <w:color w:val="auto"/>
                <w:highlight w:val="none"/>
                <w:vertAlign w:val="baseline"/>
                <w:lang w:val="en-US" w:eastAsia="zh-CN"/>
              </w:rPr>
              <w:t>应急水囊</w:t>
            </w:r>
            <w:r>
              <w:rPr>
                <w:rFonts w:hint="eastAsia"/>
                <w:color w:val="auto"/>
                <w:highlight w:val="none"/>
                <w:lang w:val="en-US" w:eastAsia="zh-CN"/>
              </w:rPr>
              <w:t>可</w:t>
            </w:r>
            <w:r>
              <w:rPr>
                <w:color w:val="auto"/>
                <w:highlight w:val="none"/>
              </w:rPr>
              <w:t>保证发生事故时产生的废水不排入周边环境，避免对保护目标产生影响</w:t>
            </w:r>
            <w:r>
              <w:rPr>
                <w:rFonts w:hint="eastAsia"/>
                <w:color w:val="auto"/>
                <w:highlight w:val="none"/>
                <w:lang w:eastAsia="zh-CN"/>
              </w:rPr>
              <w:t>，</w:t>
            </w:r>
            <w:r>
              <w:rPr>
                <w:rFonts w:hint="eastAsia"/>
                <w:color w:val="auto"/>
                <w:highlight w:val="none"/>
                <w:lang w:val="en-US" w:eastAsia="zh-CN"/>
              </w:rPr>
              <w:t>满足要求</w:t>
            </w:r>
            <w:r>
              <w:rPr>
                <w:rFonts w:hint="default"/>
                <w:color w:val="auto"/>
                <w:highlight w:val="none"/>
                <w:lang w:val="en-US" w:eastAsia="zh-CN"/>
              </w:rPr>
              <w:t>。</w:t>
            </w:r>
          </w:p>
          <w:p w14:paraId="4C7206CA">
            <w:pPr>
              <w:keepNext w:val="0"/>
              <w:keepLines w:val="0"/>
              <w:pageBreakBefore w:val="0"/>
              <w:kinsoku/>
              <w:wordWrap/>
              <w:overflowPunct/>
              <w:topLinePunct w:val="0"/>
              <w:autoSpaceDE/>
              <w:autoSpaceDN/>
              <w:bidi w:val="0"/>
              <w:adjustRightInd/>
              <w:spacing w:line="460" w:lineRule="exact"/>
              <w:textAlignment w:val="auto"/>
              <w:rPr>
                <w:rFonts w:hint="eastAsia"/>
                <w:b/>
                <w:bCs/>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bidi="ar"/>
              </w:rPr>
              <w:t>企业环境风险防范应建立与空港</w:t>
            </w:r>
            <w:sdt>
              <w:sdtPr>
                <w:rPr>
                  <w:color w:val="auto"/>
                </w:rPr>
                <w:alias w:val="语法错误"/>
                <w:tag w:val="reviewtag_FF0000"/>
                <w:id w:val="2180244"/>
              </w:sdtPr>
              <w:sdtEndPr>
                <w:rPr>
                  <w:color w:val="auto"/>
                </w:rPr>
              </w:sdtEndPr>
              <w:sdtContent>
                <w:bookmarkStart w:id="189" w:name="bkReivew2180244"/>
                <w:r>
                  <w:rPr>
                    <w:rFonts w:hint="default" w:ascii="Times New Roman" w:hAnsi="Times New Roman" w:eastAsia="宋体" w:cs="Times New Roman"/>
                    <w:color w:val="auto"/>
                    <w:kern w:val="2"/>
                    <w:sz w:val="24"/>
                    <w:szCs w:val="24"/>
                    <w:highlight w:val="none"/>
                    <w:lang w:val="en-US" w:eastAsia="zh-CN" w:bidi="ar"/>
                  </w:rPr>
                  <w:t>经开区</w:t>
                </w:r>
                <w:bookmarkEnd w:id="189"/>
              </w:sdtContent>
            </w:sdt>
            <w:r>
              <w:rPr>
                <w:rFonts w:hint="eastAsia" w:ascii="Times New Roman" w:hAnsi="Times New Roman" w:eastAsia="宋体"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江宁经济技术开发区对接、联动的风险防范体系</w:t>
            </w:r>
            <w:r>
              <w:rPr>
                <w:rFonts w:hint="eastAsia" w:ascii="Times New Roman" w:hAnsi="Times New Roman" w:eastAsia="宋体"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极端事故风险防控及应急处置应结合所在区域环境风险防控体系统筹考虑，按分级响应要求及时启动区域环境风险防范措施，实现厂内与区域环境风险防控设施及管理有效联动，有效防控环境风险</w:t>
            </w:r>
            <w:r>
              <w:rPr>
                <w:rFonts w:hint="eastAsia" w:ascii="Times New Roman" w:hAnsi="Times New Roman" w:eastAsia="宋体" w:cs="Times New Roman"/>
                <w:color w:val="auto"/>
                <w:kern w:val="2"/>
                <w:sz w:val="24"/>
                <w:szCs w:val="24"/>
                <w:highlight w:val="none"/>
                <w:lang w:val="en-US" w:eastAsia="zh-CN" w:bidi="ar"/>
              </w:rPr>
              <w:t>。</w:t>
            </w:r>
          </w:p>
          <w:p w14:paraId="48A32A4E">
            <w:pPr>
              <w:keepNext w:val="0"/>
              <w:keepLines w:val="0"/>
              <w:pageBreakBefore w:val="0"/>
              <w:kinsoku/>
              <w:wordWrap/>
              <w:overflowPunct/>
              <w:topLinePunct w:val="0"/>
              <w:autoSpaceDE/>
              <w:autoSpaceDN/>
              <w:bidi w:val="0"/>
              <w:adjustRightInd/>
              <w:spacing w:line="460" w:lineRule="exact"/>
              <w:textAlignment w:val="auto"/>
              <w:rPr>
                <w:rFonts w:hint="default"/>
                <w:b/>
                <w:bCs/>
                <w:color w:val="auto"/>
                <w:highlight w:val="none"/>
              </w:rPr>
            </w:pPr>
            <w:r>
              <w:rPr>
                <w:rFonts w:hint="eastAsia"/>
                <w:b/>
                <w:bCs/>
                <w:color w:val="auto"/>
                <w:highlight w:val="none"/>
                <w:lang w:val="en-US" w:eastAsia="zh-CN"/>
              </w:rPr>
              <w:t>（4）</w:t>
            </w:r>
            <w:r>
              <w:rPr>
                <w:rFonts w:hint="default"/>
                <w:b/>
                <w:bCs/>
                <w:color w:val="auto"/>
                <w:highlight w:val="none"/>
                <w:lang w:val="zh-CN"/>
              </w:rPr>
              <w:t>危废贮存、运输过程风险防范</w:t>
            </w:r>
            <w:r>
              <w:rPr>
                <w:rFonts w:hint="default"/>
                <w:b/>
                <w:bCs/>
                <w:color w:val="auto"/>
                <w:highlight w:val="none"/>
              </w:rPr>
              <w:t>措施</w:t>
            </w:r>
          </w:p>
          <w:p w14:paraId="4B40E512">
            <w:pPr>
              <w:bidi w:val="0"/>
              <w:rPr>
                <w:rFonts w:hint="default"/>
                <w:color w:val="auto"/>
                <w:highlight w:val="none"/>
                <w:lang w:val="zh-CN"/>
              </w:rPr>
            </w:pPr>
            <w:r>
              <w:rPr>
                <w:rFonts w:hint="default"/>
                <w:color w:val="auto"/>
                <w:highlight w:val="none"/>
                <w:lang w:val="zh-CN"/>
              </w:rPr>
              <w:t>本次环评要求</w:t>
            </w:r>
            <w:r>
              <w:rPr>
                <w:rFonts w:hint="default"/>
                <w:color w:val="auto"/>
                <w:highlight w:val="none"/>
                <w:lang w:val="en-US" w:eastAsia="zh-CN"/>
              </w:rPr>
              <w:t>危废</w:t>
            </w:r>
            <w:r>
              <w:rPr>
                <w:rFonts w:hint="eastAsia"/>
                <w:color w:val="auto"/>
                <w:highlight w:val="none"/>
                <w:lang w:val="en-US" w:eastAsia="zh-CN"/>
              </w:rPr>
              <w:t>贮存设施</w:t>
            </w:r>
            <w:r>
              <w:rPr>
                <w:rFonts w:hint="default"/>
                <w:color w:val="auto"/>
                <w:highlight w:val="none"/>
                <w:lang w:val="zh-CN"/>
              </w:rPr>
              <w:t>须满足</w:t>
            </w:r>
            <w:r>
              <w:rPr>
                <w:rFonts w:hint="default"/>
                <w:color w:val="auto"/>
                <w:highlight w:val="none"/>
                <w:lang w:eastAsia="zh-CN"/>
              </w:rPr>
              <w:t>《</w:t>
            </w:r>
            <w:r>
              <w:rPr>
                <w:rFonts w:hint="default"/>
                <w:color w:val="auto"/>
                <w:highlight w:val="none"/>
                <w:lang w:val="en-US" w:eastAsia="zh-CN"/>
              </w:rPr>
              <w:t>危险废物贮存污染控制标准》（GB18597-2023）</w:t>
            </w:r>
            <w:sdt>
              <w:sdtPr>
                <w:rPr>
                  <w:color w:val="auto"/>
                </w:rPr>
                <w:alias w:val="语法错误"/>
                <w:tag w:val="reviewtag_FF0000"/>
                <w:id w:val="101052"/>
              </w:sdtPr>
              <w:sdtEndPr>
                <w:rPr>
                  <w:color w:val="auto"/>
                </w:rPr>
              </w:sdtEndPr>
              <w:sdtContent>
                <w:bookmarkStart w:id="190" w:name="bkReivew101052"/>
                <w:r>
                  <w:rPr>
                    <w:rFonts w:hint="default"/>
                    <w:color w:val="auto"/>
                    <w:highlight w:val="none"/>
                    <w:lang w:val="zh-CN"/>
                  </w:rPr>
                  <w:t>要求</w:t>
                </w:r>
                <w:bookmarkEnd w:id="190"/>
              </w:sdtContent>
            </w:sdt>
            <w:r>
              <w:rPr>
                <w:rFonts w:hint="default"/>
                <w:color w:val="auto"/>
                <w:highlight w:val="none"/>
                <w:lang w:val="zh-CN"/>
              </w:rPr>
              <w:t>。危险废物的运输应由危险废物处置单位安排专人专车运送，同时注意运输工具的密封，采取相应的安全防护和污染防治措施，包括防爆、防火、防中毒、防泄漏、防飞扬、防雨或其他防治污染环境的措施等，防止造成二次污染。</w:t>
            </w:r>
          </w:p>
          <w:p w14:paraId="70B25D63">
            <w:pPr>
              <w:bidi w:val="0"/>
              <w:rPr>
                <w:rFonts w:hint="default"/>
                <w:color w:val="auto"/>
                <w:highlight w:val="none"/>
                <w:lang w:val="zh-CN"/>
              </w:rPr>
            </w:pPr>
            <w:r>
              <w:rPr>
                <w:rFonts w:hint="default"/>
                <w:color w:val="auto"/>
                <w:highlight w:val="none"/>
                <w:lang w:val="zh-CN"/>
              </w:rPr>
              <w:t>同时在环境管理中注意以下内容：建设单位应通</w:t>
            </w:r>
            <w:r>
              <w:rPr>
                <w:rFonts w:hint="eastAsia"/>
                <w:color w:val="auto"/>
                <w:highlight w:val="none"/>
                <w:lang w:val="zh-CN"/>
              </w:rPr>
              <w:t>过“</w:t>
            </w:r>
            <w:r>
              <w:rPr>
                <w:rFonts w:hint="default"/>
                <w:color w:val="auto"/>
                <w:highlight w:val="none"/>
                <w:lang w:val="zh-CN"/>
              </w:rPr>
              <w:t>江苏省危险废物全生命周期监控系统</w:t>
            </w:r>
            <w:r>
              <w:rPr>
                <w:rFonts w:hint="eastAsia"/>
                <w:color w:val="auto"/>
                <w:highlight w:val="none"/>
                <w:lang w:val="zh-CN"/>
              </w:rPr>
              <w:t>”</w:t>
            </w:r>
            <w:r>
              <w:rPr>
                <w:rFonts w:hint="default"/>
                <w:color w:val="auto"/>
                <w:highlight w:val="none"/>
                <w:lang w:val="zh-CN"/>
              </w:rPr>
              <w:t>进行危险废物申报登记，将危险废物的实际产生、贮存、利用、处置等情况纳入生产记录，建立危险废物管理台账和企业内部产生和收集、贮存、转移等部门危险废物交接制度；必须明确企业为固体废物污染防治的责任主体，要求企业建立风险管理及应急救援体系，执行环境监测计划、转移联单管理制度及国家和省有关转移管理的相关规定、处置过程安全操作规程、人员培训考核制度、档案管理制度、处置全过程管理制度等。</w:t>
            </w:r>
          </w:p>
          <w:p w14:paraId="5A7E565C">
            <w:pPr>
              <w:bidi w:val="0"/>
              <w:rPr>
                <w:rFonts w:hint="default"/>
                <w:color w:val="auto"/>
                <w:highlight w:val="none"/>
                <w:lang w:val="zh-CN"/>
              </w:rPr>
            </w:pPr>
            <w:r>
              <w:rPr>
                <w:rFonts w:hint="eastAsia"/>
                <w:color w:val="auto"/>
                <w:highlight w:val="none"/>
                <w:lang w:val="en-US" w:eastAsia="zh-CN"/>
              </w:rPr>
              <w:t>1）</w:t>
            </w:r>
            <w:r>
              <w:rPr>
                <w:rFonts w:hint="default"/>
                <w:color w:val="auto"/>
                <w:highlight w:val="none"/>
                <w:lang w:val="zh-CN"/>
              </w:rPr>
              <w:t>做好</w:t>
            </w:r>
            <w:r>
              <w:rPr>
                <w:rFonts w:hint="eastAsia"/>
                <w:color w:val="auto"/>
                <w:highlight w:val="none"/>
                <w:lang w:val="zh-CN"/>
              </w:rPr>
              <w:t>雨水</w:t>
            </w:r>
            <w:r>
              <w:rPr>
                <w:rFonts w:hint="default"/>
                <w:color w:val="auto"/>
                <w:highlight w:val="none"/>
                <w:lang w:val="zh-CN"/>
              </w:rPr>
              <w:t>、污水排放口水质监测工作，发现超标及时排查事故原因。</w:t>
            </w:r>
          </w:p>
          <w:p w14:paraId="1A9E0B5C">
            <w:pPr>
              <w:bidi w:val="0"/>
              <w:rPr>
                <w:rFonts w:hint="default"/>
                <w:color w:val="auto"/>
                <w:highlight w:val="none"/>
                <w:lang w:val="zh-CN"/>
              </w:rPr>
            </w:pPr>
            <w:r>
              <w:rPr>
                <w:rFonts w:hint="eastAsia"/>
                <w:color w:val="auto"/>
                <w:highlight w:val="none"/>
                <w:lang w:val="en-US" w:eastAsia="zh-CN"/>
              </w:rPr>
              <w:t>2）</w:t>
            </w:r>
            <w:r>
              <w:rPr>
                <w:rFonts w:hint="default"/>
                <w:color w:val="auto"/>
                <w:highlight w:val="none"/>
                <w:lang w:val="zh-CN"/>
              </w:rPr>
              <w:t>定时巡检，做好台账表。</w:t>
            </w:r>
          </w:p>
          <w:p w14:paraId="4414FDED">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建设单位应依据相关法律法规履行安全生</w:t>
            </w:r>
            <w:r>
              <w:rPr>
                <w:rFonts w:hint="eastAsia"/>
                <w:color w:val="auto"/>
                <w:highlight w:val="none"/>
                <w:lang w:val="en-US" w:eastAsia="zh-CN"/>
              </w:rPr>
              <w:t>产“三同时”手</w:t>
            </w:r>
            <w:r>
              <w:rPr>
                <w:rFonts w:hint="default"/>
                <w:color w:val="auto"/>
                <w:highlight w:val="none"/>
                <w:lang w:val="en-US" w:eastAsia="zh-CN"/>
              </w:rPr>
              <w:t>续</w:t>
            </w:r>
            <w:r>
              <w:rPr>
                <w:rFonts w:hint="eastAsia"/>
                <w:color w:val="auto"/>
                <w:highlight w:val="none"/>
                <w:lang w:val="en-US" w:eastAsia="zh-CN"/>
              </w:rPr>
              <w:t>。</w:t>
            </w:r>
          </w:p>
          <w:p w14:paraId="19DA9409">
            <w:pPr>
              <w:pStyle w:val="52"/>
              <w:bidi w:val="0"/>
              <w:ind w:left="5518" w:leftChars="0" w:hanging="5518" w:firstLineChars="0"/>
              <w:rPr>
                <w:rFonts w:hint="default"/>
                <w:color w:val="auto"/>
              </w:rPr>
            </w:pPr>
            <w:r>
              <w:rPr>
                <w:rFonts w:hint="eastAsia"/>
                <w:color w:val="auto"/>
                <w:lang w:val="en-US" w:eastAsia="zh-CN"/>
              </w:rPr>
              <w:t>预防机制详情</w:t>
            </w:r>
          </w:p>
          <w:tbl>
            <w:tblPr>
              <w:tblStyle w:val="33"/>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6833"/>
            </w:tblGrid>
            <w:tr w14:paraId="3BD4DB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1" w:type="pct"/>
                  <w:vAlign w:val="center"/>
                </w:tcPr>
                <w:p w14:paraId="1C05F4C2">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突发环境事件</w:t>
                  </w:r>
                </w:p>
              </w:tc>
              <w:tc>
                <w:tcPr>
                  <w:tcW w:w="4039" w:type="pct"/>
                  <w:vAlign w:val="center"/>
                </w:tcPr>
                <w:p w14:paraId="3B79CF5B">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预防机制</w:t>
                  </w:r>
                </w:p>
              </w:tc>
            </w:tr>
            <w:tr w14:paraId="5853A3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1" w:type="pct"/>
                  <w:vAlign w:val="center"/>
                </w:tcPr>
                <w:p w14:paraId="19BE6302">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物料</w:t>
                  </w:r>
                  <w:r>
                    <w:rPr>
                      <w:rFonts w:hint="default" w:ascii="Times New Roman" w:hAnsi="Times New Roman" w:cs="Times New Roman"/>
                      <w:color w:val="auto"/>
                      <w:sz w:val="21"/>
                      <w:szCs w:val="21"/>
                      <w:highlight w:val="none"/>
                      <w:lang w:eastAsia="zh-CN"/>
                    </w:rPr>
                    <w:t>泄漏</w:t>
                  </w:r>
                </w:p>
              </w:tc>
              <w:tc>
                <w:tcPr>
                  <w:tcW w:w="4039" w:type="pct"/>
                  <w:vAlign w:val="center"/>
                </w:tcPr>
                <w:p w14:paraId="5FD46B2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kern w:val="0"/>
                      <w:sz w:val="21"/>
                      <w:szCs w:val="21"/>
                      <w:highlight w:val="none"/>
                      <w:lang w:val="zh-CN"/>
                    </w:rPr>
                  </w:pPr>
                  <w:r>
                    <w:rPr>
                      <w:rFonts w:hint="default" w:ascii="Times New Roman" w:hAnsi="Times New Roman" w:cs="Times New Roman"/>
                      <w:color w:val="auto"/>
                      <w:kern w:val="0"/>
                      <w:sz w:val="21"/>
                      <w:szCs w:val="21"/>
                      <w:highlight w:val="none"/>
                      <w:lang w:val="zh-CN"/>
                    </w:rPr>
                    <w:t>1.加强对仓库的巡视工作，重点检测包装有无破裂，阀门是否失灵等；</w:t>
                  </w:r>
                </w:p>
                <w:p w14:paraId="4CBE03C8">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zh-CN"/>
                    </w:rPr>
                    <w:t>2.做好</w:t>
                  </w:r>
                  <w:r>
                    <w:rPr>
                      <w:rFonts w:hint="default" w:ascii="Times New Roman" w:hAnsi="Times New Roman" w:cs="Times New Roman"/>
                      <w:color w:val="auto"/>
                      <w:kern w:val="0"/>
                      <w:sz w:val="21"/>
                      <w:szCs w:val="21"/>
                      <w:highlight w:val="none"/>
                    </w:rPr>
                    <w:t>危废</w:t>
                  </w:r>
                  <w:r>
                    <w:rPr>
                      <w:rFonts w:hint="default" w:ascii="Times New Roman" w:hAnsi="Times New Roman" w:cs="Times New Roman"/>
                      <w:color w:val="auto"/>
                      <w:kern w:val="0"/>
                      <w:sz w:val="21"/>
                      <w:szCs w:val="21"/>
                      <w:highlight w:val="none"/>
                      <w:lang w:val="en-US" w:eastAsia="zh-CN"/>
                    </w:rPr>
                    <w:t>贮存</w:t>
                  </w:r>
                  <w:r>
                    <w:rPr>
                      <w:rFonts w:hint="eastAsia" w:cs="Times New Roman"/>
                      <w:color w:val="auto"/>
                      <w:kern w:val="0"/>
                      <w:sz w:val="21"/>
                      <w:szCs w:val="21"/>
                      <w:highlight w:val="none"/>
                      <w:lang w:val="en-US" w:eastAsia="zh-CN"/>
                    </w:rPr>
                    <w:t>库</w:t>
                  </w:r>
                  <w:r>
                    <w:rPr>
                      <w:rFonts w:hint="default" w:ascii="Times New Roman" w:hAnsi="Times New Roman" w:cs="Times New Roman"/>
                      <w:color w:val="auto"/>
                      <w:kern w:val="0"/>
                      <w:sz w:val="21"/>
                      <w:szCs w:val="21"/>
                      <w:highlight w:val="none"/>
                      <w:lang w:val="zh-CN"/>
                    </w:rPr>
                    <w:t>地面防渗防腐处理，设置截流沟，防止泄漏的物料及消防废水排出厂界。</w:t>
                  </w:r>
                </w:p>
              </w:tc>
            </w:tr>
            <w:tr w14:paraId="595162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1" w:type="pct"/>
                  <w:vAlign w:val="center"/>
                </w:tcPr>
                <w:p w14:paraId="70FB7A61">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暴雨、雷电等自然灾害</w:t>
                  </w:r>
                </w:p>
              </w:tc>
              <w:tc>
                <w:tcPr>
                  <w:tcW w:w="4039" w:type="pct"/>
                  <w:vAlign w:val="center"/>
                </w:tcPr>
                <w:p w14:paraId="04F84CF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zh-CN"/>
                    </w:rPr>
                    <w:t>1.密切注意天气变化，在暴雨等天气来临前对现场的物品进行收拾，对厂棚进行加固，对外露的设备进行保护，对可能积水的部位进行检查；</w:t>
                  </w:r>
                </w:p>
              </w:tc>
            </w:tr>
            <w:tr w14:paraId="23868A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1" w:type="pct"/>
                  <w:vAlign w:val="center"/>
                </w:tcPr>
                <w:p w14:paraId="5CEA4B66">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火灾</w:t>
                  </w:r>
                </w:p>
              </w:tc>
              <w:tc>
                <w:tcPr>
                  <w:tcW w:w="4039" w:type="pct"/>
                  <w:vAlign w:val="center"/>
                </w:tcPr>
                <w:p w14:paraId="15E9EBD4">
                  <w:pPr>
                    <w:keepNext w:val="0"/>
                    <w:keepLines w:val="0"/>
                    <w:pageBreakBefore w:val="0"/>
                    <w:widowControl w:val="0"/>
                    <w:suppressLineNumbers w:val="0"/>
                    <w:kinsoku/>
                    <w:wordWrap/>
                    <w:overflowPunct/>
                    <w:topLinePunct w:val="0"/>
                    <w:bidi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sz w:val="21"/>
                      <w:szCs w:val="21"/>
                      <w:highlight w:val="none"/>
                    </w:rPr>
                  </w:pPr>
                  <w:r>
                    <w:rPr>
                      <w:rFonts w:hint="eastAsia" w:cs="Times New Roman"/>
                      <w:color w:val="auto"/>
                      <w:kern w:val="0"/>
                      <w:sz w:val="21"/>
                      <w:szCs w:val="21"/>
                      <w:highlight w:val="none"/>
                      <w:lang w:val="en-US" w:eastAsia="zh-CN"/>
                    </w:rPr>
                    <w:t>电芯及</w:t>
                  </w:r>
                  <w:r>
                    <w:rPr>
                      <w:rFonts w:hint="default" w:ascii="Times New Roman" w:hAnsi="Times New Roman" w:cs="Times New Roman"/>
                      <w:color w:val="auto"/>
                      <w:kern w:val="0"/>
                      <w:sz w:val="21"/>
                      <w:szCs w:val="21"/>
                      <w:highlight w:val="none"/>
                      <w:lang w:val="zh-CN"/>
                    </w:rPr>
                    <w:t>易燃物品进行防护保护；对供电线路进行巡检；对消防设施进行定期检查。火灾时确保消防废水进入污水处理设施。</w:t>
                  </w:r>
                </w:p>
              </w:tc>
            </w:tr>
          </w:tbl>
          <w:p w14:paraId="7FC260E4">
            <w:pPr>
              <w:numPr>
                <w:ilvl w:val="0"/>
                <w:numId w:val="0"/>
              </w:numPr>
              <w:bidi w:val="0"/>
              <w:ind w:left="0" w:leftChars="0" w:firstLine="482" w:firstLineChars="200"/>
              <w:rPr>
                <w:rFonts w:hint="eastAsia"/>
                <w:b/>
                <w:bCs/>
                <w:color w:val="auto"/>
                <w:highlight w:val="none"/>
                <w:lang w:val="zh-CN"/>
              </w:rPr>
            </w:pPr>
            <w:r>
              <w:rPr>
                <w:rFonts w:hint="eastAsia" w:cs="Times New Roman"/>
                <w:b/>
                <w:bCs/>
                <w:color w:val="auto"/>
                <w:kern w:val="2"/>
                <w:sz w:val="24"/>
                <w:szCs w:val="24"/>
                <w:lang w:val="en-US" w:eastAsia="zh-CN" w:bidi="ar-SA"/>
              </w:rPr>
              <w:t>7.</w:t>
            </w:r>
            <w:r>
              <w:rPr>
                <w:rFonts w:hint="eastAsia"/>
                <w:b/>
                <w:bCs/>
                <w:color w:val="auto"/>
                <w:highlight w:val="none"/>
                <w:lang w:val="zh-CN"/>
              </w:rPr>
              <w:t>排污口规范化设置</w:t>
            </w:r>
          </w:p>
          <w:p w14:paraId="1E0F27FB">
            <w:pPr>
              <w:bidi w:val="0"/>
              <w:rPr>
                <w:color w:val="auto"/>
                <w:highlight w:val="none"/>
              </w:rPr>
            </w:pPr>
            <w:r>
              <w:rPr>
                <w:color w:val="auto"/>
                <w:highlight w:val="none"/>
              </w:rPr>
              <w:t>根据《江苏省排污口设置及规范化整治管理办法》</w:t>
            </w:r>
            <w:sdt>
              <w:sdtPr>
                <w:rPr>
                  <w:color w:val="auto"/>
                </w:rPr>
                <w:alias w:val="语法错误"/>
                <w:tag w:val="reviewtag_FF0000"/>
                <w:id w:val="2080741"/>
              </w:sdtPr>
              <w:sdtEndPr>
                <w:rPr>
                  <w:color w:val="auto"/>
                </w:rPr>
              </w:sdtEndPr>
              <w:sdtContent>
                <w:bookmarkStart w:id="191" w:name="bkReivew2080741"/>
                <w:r>
                  <w:rPr>
                    <w:color w:val="auto"/>
                    <w:highlight w:val="none"/>
                  </w:rPr>
                  <w:t>的</w:t>
                </w:r>
                <w:bookmarkEnd w:id="191"/>
              </w:sdtContent>
            </w:sdt>
            <w:r>
              <w:rPr>
                <w:color w:val="auto"/>
                <w:highlight w:val="none"/>
              </w:rPr>
              <w:t>第十二条规定，排污口</w:t>
            </w:r>
            <w:r>
              <w:rPr>
                <w:rFonts w:hint="eastAsia"/>
                <w:color w:val="auto"/>
                <w:highlight w:val="none"/>
                <w:lang w:val="en-US" w:eastAsia="zh-CN"/>
              </w:rPr>
              <w:t>应</w:t>
            </w:r>
            <w:r>
              <w:rPr>
                <w:rFonts w:hint="eastAsia"/>
                <w:color w:val="auto"/>
                <w:highlight w:val="none"/>
              </w:rPr>
              <w:t>符合“一明显、二合理、三便于”的要</w:t>
            </w:r>
            <w:r>
              <w:rPr>
                <w:color w:val="auto"/>
                <w:highlight w:val="none"/>
              </w:rPr>
              <w:t>求，即环保标志明显，排污口设置合理、排污去向合理，便于采集样品、便于监测计量、便于公众监督管理。并按照</w:t>
            </w:r>
            <w:sdt>
              <w:sdtPr>
                <w:rPr>
                  <w:color w:val="auto"/>
                </w:rPr>
                <w:alias w:val="标准名称与标准号不匹配"/>
                <w:tag w:val="reviewtag_FF0000"/>
                <w:id w:val="2063022"/>
              </w:sdtPr>
              <w:sdtEndPr>
                <w:rPr>
                  <w:color w:val="auto"/>
                </w:rPr>
              </w:sdtEndPr>
              <w:sdtContent>
                <w:bookmarkStart w:id="192" w:name="bkReivew2063022"/>
                <w:r>
                  <w:rPr>
                    <w:color w:val="auto"/>
                    <w:highlight w:val="none"/>
                  </w:rPr>
                  <w:t>《环境保护图形标志</w:t>
                </w:r>
                <w:r>
                  <w:rPr>
                    <w:rFonts w:hint="eastAsia"/>
                    <w:color w:val="auto"/>
                    <w:highlight w:val="none"/>
                    <w:lang w:eastAsia="zh-CN"/>
                  </w:rPr>
                  <w:t>—</w:t>
                </w:r>
                <w:r>
                  <w:rPr>
                    <w:rFonts w:hint="eastAsia"/>
                    <w:color w:val="auto"/>
                    <w:highlight w:val="none"/>
                    <w:lang w:val="en-US" w:eastAsia="zh-CN"/>
                  </w:rPr>
                  <w:t>排放口（源）</w:t>
                </w:r>
                <w:r>
                  <w:rPr>
                    <w:color w:val="auto"/>
                    <w:highlight w:val="none"/>
                  </w:rPr>
                  <w:t>》（GB15562.1-1995）</w:t>
                </w:r>
                <w:bookmarkEnd w:id="192"/>
              </w:sdtContent>
            </w:sdt>
            <w:r>
              <w:rPr>
                <w:color w:val="auto"/>
                <w:highlight w:val="none"/>
              </w:rPr>
              <w:t>的规定，对各排污口设立相应的标志牌。</w:t>
            </w:r>
          </w:p>
          <w:p w14:paraId="2B100282">
            <w:pPr>
              <w:bidi w:val="0"/>
              <w:rPr>
                <w:b/>
                <w:bCs/>
                <w:color w:val="auto"/>
                <w:highlight w:val="none"/>
              </w:rPr>
            </w:pPr>
            <w:r>
              <w:rPr>
                <w:b/>
                <w:bCs/>
                <w:color w:val="auto"/>
                <w:highlight w:val="none"/>
              </w:rPr>
              <w:t>（1）污水排放口</w:t>
            </w:r>
          </w:p>
          <w:p w14:paraId="59B6BF51">
            <w:pPr>
              <w:bidi w:val="0"/>
              <w:rPr>
                <w:rFonts w:hint="default" w:eastAsia="宋体"/>
                <w:color w:val="auto"/>
                <w:highlight w:val="none"/>
                <w:lang w:val="en-US" w:eastAsia="zh-CN"/>
              </w:rPr>
            </w:pPr>
            <w:r>
              <w:rPr>
                <w:rFonts w:hint="eastAsia"/>
                <w:color w:val="auto"/>
                <w:highlight w:val="none"/>
                <w:lang w:val="en-US" w:eastAsia="zh-CN"/>
              </w:rPr>
              <w:t>本项目依托园区现有</w:t>
            </w:r>
            <w:r>
              <w:rPr>
                <w:rFonts w:hint="eastAsia"/>
                <w:color w:val="auto"/>
                <w:highlight w:val="none"/>
              </w:rPr>
              <w:t>雨水、污水排口，</w:t>
            </w:r>
            <w:r>
              <w:rPr>
                <w:rFonts w:hint="eastAsia"/>
                <w:color w:val="auto"/>
                <w:highlight w:val="none"/>
                <w:lang w:val="en-US" w:eastAsia="zh-CN"/>
              </w:rPr>
              <w:t>项目建成后企业应</w:t>
            </w:r>
            <w:r>
              <w:rPr>
                <w:color w:val="auto"/>
                <w:highlight w:val="none"/>
              </w:rPr>
              <w:t>在污水排口</w:t>
            </w:r>
            <w:r>
              <w:rPr>
                <w:rFonts w:hint="eastAsia"/>
                <w:color w:val="auto"/>
                <w:highlight w:val="none"/>
                <w:lang w:eastAsia="zh-CN"/>
              </w:rPr>
              <w:t>、</w:t>
            </w:r>
            <w:r>
              <w:rPr>
                <w:rFonts w:hint="eastAsia"/>
                <w:color w:val="auto"/>
                <w:highlight w:val="none"/>
                <w:lang w:val="en-US" w:eastAsia="zh-CN"/>
              </w:rPr>
              <w:t>雨水排放口</w:t>
            </w:r>
            <w:r>
              <w:rPr>
                <w:color w:val="auto"/>
                <w:highlight w:val="none"/>
              </w:rPr>
              <w:t>附近醒目处设置环境保护图形标志牌。</w:t>
            </w:r>
          </w:p>
          <w:p w14:paraId="7199CDF7">
            <w:pPr>
              <w:bidi w:val="0"/>
              <w:rPr>
                <w:b/>
                <w:bCs/>
                <w:color w:val="auto"/>
                <w:highlight w:val="none"/>
              </w:rPr>
            </w:pPr>
            <w:r>
              <w:rPr>
                <w:b/>
                <w:bCs/>
                <w:color w:val="auto"/>
                <w:highlight w:val="none"/>
              </w:rPr>
              <w:t>（2）废气排放口</w:t>
            </w:r>
          </w:p>
          <w:p w14:paraId="493451A7">
            <w:pPr>
              <w:bidi w:val="0"/>
              <w:rPr>
                <w:color w:val="auto"/>
                <w:highlight w:val="none"/>
              </w:rPr>
            </w:pPr>
            <w:r>
              <w:rPr>
                <w:rFonts w:hint="eastAsia"/>
                <w:color w:val="auto"/>
                <w:highlight w:val="none"/>
                <w:lang w:val="en-US" w:eastAsia="zh-CN"/>
              </w:rPr>
              <w:t>本项目不涉及排气筒</w:t>
            </w:r>
            <w:r>
              <w:rPr>
                <w:rFonts w:hint="eastAsia"/>
                <w:color w:val="auto"/>
                <w:highlight w:val="none"/>
              </w:rPr>
              <w:t>。</w:t>
            </w:r>
          </w:p>
          <w:p w14:paraId="69A6762F">
            <w:pPr>
              <w:bidi w:val="0"/>
              <w:rPr>
                <w:b/>
                <w:bCs/>
                <w:color w:val="auto"/>
                <w:highlight w:val="none"/>
              </w:rPr>
            </w:pPr>
            <w:r>
              <w:rPr>
                <w:b/>
                <w:bCs/>
                <w:color w:val="auto"/>
                <w:highlight w:val="none"/>
              </w:rPr>
              <w:t>（3）固定噪声排放源</w:t>
            </w:r>
          </w:p>
          <w:p w14:paraId="6135591C">
            <w:pPr>
              <w:bidi w:val="0"/>
              <w:rPr>
                <w:color w:val="auto"/>
                <w:highlight w:val="none"/>
              </w:rPr>
            </w:pPr>
            <w:r>
              <w:rPr>
                <w:color w:val="auto"/>
                <w:highlight w:val="none"/>
              </w:rPr>
              <w:t>按规定对固定噪声源进行治理，并在企业边界噪声敏感点且对外影响最大处设置标志牌。</w:t>
            </w:r>
          </w:p>
          <w:p w14:paraId="47422819">
            <w:pPr>
              <w:bidi w:val="0"/>
              <w:rPr>
                <w:rFonts w:hint="eastAsia"/>
                <w:b/>
                <w:bCs/>
                <w:color w:val="auto"/>
                <w:highlight w:val="none"/>
              </w:rPr>
            </w:pPr>
            <w:r>
              <w:rPr>
                <w:b/>
                <w:bCs/>
                <w:color w:val="auto"/>
                <w:highlight w:val="none"/>
              </w:rPr>
              <w:t>（4）固体废物暂存</w:t>
            </w:r>
            <w:r>
              <w:rPr>
                <w:rFonts w:hint="eastAsia"/>
                <w:b/>
                <w:bCs/>
                <w:color w:val="auto"/>
                <w:highlight w:val="none"/>
                <w:lang w:val="en-US" w:eastAsia="zh-CN"/>
              </w:rPr>
              <w:t>间</w:t>
            </w:r>
          </w:p>
          <w:p w14:paraId="36D9B861">
            <w:pPr>
              <w:bidi w:val="0"/>
              <w:rPr>
                <w:color w:val="auto"/>
                <w:highlight w:val="none"/>
              </w:rPr>
            </w:pPr>
            <w:r>
              <w:rPr>
                <w:rFonts w:hint="eastAsia"/>
                <w:color w:val="auto"/>
                <w:highlight w:val="none"/>
                <w:lang w:val="en-US" w:eastAsia="zh-CN"/>
              </w:rPr>
              <w:t>本项目设置5m</w:t>
            </w:r>
            <w:r>
              <w:rPr>
                <w:rFonts w:hint="eastAsia"/>
                <w:color w:val="auto"/>
                <w:highlight w:val="none"/>
                <w:vertAlign w:val="superscript"/>
                <w:lang w:val="en-US" w:eastAsia="zh-CN"/>
              </w:rPr>
              <w:t>2</w:t>
            </w:r>
            <w:r>
              <w:rPr>
                <w:color w:val="auto"/>
                <w:highlight w:val="none"/>
              </w:rPr>
              <w:t>一般固废</w:t>
            </w:r>
            <w:r>
              <w:rPr>
                <w:rFonts w:hint="eastAsia"/>
                <w:color w:val="auto"/>
                <w:highlight w:val="none"/>
              </w:rPr>
              <w:t>库，</w:t>
            </w:r>
            <w:r>
              <w:rPr>
                <w:color w:val="auto"/>
                <w:highlight w:val="none"/>
              </w:rPr>
              <w:t>有防扬散、防流失、防渗漏等措施</w:t>
            </w:r>
            <w:r>
              <w:rPr>
                <w:rFonts w:hint="eastAsia"/>
                <w:color w:val="auto"/>
                <w:highlight w:val="none"/>
                <w:lang w:eastAsia="zh-CN"/>
              </w:rPr>
              <w:t>；</w:t>
            </w:r>
            <w:r>
              <w:rPr>
                <w:rFonts w:hint="eastAsia"/>
                <w:color w:val="auto"/>
                <w:highlight w:val="none"/>
                <w:vertAlign w:val="baseline"/>
                <w:lang w:val="en-US" w:eastAsia="zh-CN"/>
              </w:rPr>
              <w:t>设置1个</w:t>
            </w:r>
            <w:r>
              <w:rPr>
                <w:rFonts w:hint="eastAsia"/>
                <w:color w:val="auto"/>
                <w:highlight w:val="none"/>
                <w:lang w:val="en-US" w:eastAsia="zh-CN"/>
              </w:rPr>
              <w:t>0.5</w:t>
            </w:r>
            <w:r>
              <w:rPr>
                <w:rFonts w:hint="eastAsia"/>
                <w:color w:val="auto"/>
                <w:highlight w:val="none"/>
              </w:rPr>
              <w:t>m</w:t>
            </w:r>
            <w:r>
              <w:rPr>
                <w:rFonts w:hint="eastAsia"/>
                <w:color w:val="auto"/>
                <w:highlight w:val="none"/>
                <w:vertAlign w:val="superscript"/>
              </w:rPr>
              <w:t>2</w:t>
            </w:r>
            <w:r>
              <w:rPr>
                <w:rFonts w:hint="eastAsia"/>
                <w:color w:val="auto"/>
                <w:highlight w:val="none"/>
              </w:rPr>
              <w:t>危废</w:t>
            </w:r>
            <w:r>
              <w:rPr>
                <w:rFonts w:hint="eastAsia"/>
                <w:color w:val="auto"/>
                <w:highlight w:val="none"/>
                <w:lang w:val="en-US" w:eastAsia="zh-CN"/>
              </w:rPr>
              <w:t>贮存点</w:t>
            </w:r>
            <w:r>
              <w:rPr>
                <w:rFonts w:hint="eastAsia"/>
                <w:color w:val="auto"/>
                <w:highlight w:val="none"/>
                <w:lang w:eastAsia="zh-CN"/>
              </w:rPr>
              <w:t>，</w:t>
            </w:r>
            <w:r>
              <w:rPr>
                <w:rFonts w:hint="eastAsia"/>
                <w:color w:val="auto"/>
                <w:highlight w:val="none"/>
                <w:lang w:val="en-US" w:eastAsia="zh-CN"/>
              </w:rPr>
              <w:t>建设要求满足《</w:t>
            </w:r>
            <w:r>
              <w:rPr>
                <w:color w:val="auto"/>
                <w:highlight w:val="none"/>
                <w:lang w:val="en-US" w:eastAsia="zh-CN"/>
              </w:rPr>
              <w:t>危险废物贮存污染控制标准</w:t>
            </w:r>
            <w:r>
              <w:rPr>
                <w:rFonts w:hint="eastAsia"/>
                <w:color w:val="auto"/>
                <w:highlight w:val="none"/>
                <w:lang w:val="en-US" w:eastAsia="zh-CN"/>
              </w:rPr>
              <w:t>》（</w:t>
            </w:r>
            <w:r>
              <w:rPr>
                <w:rFonts w:hint="eastAsia"/>
                <w:color w:val="auto"/>
                <w:highlight w:val="none"/>
              </w:rPr>
              <w:t>GB18597</w:t>
            </w:r>
            <w:r>
              <w:rPr>
                <w:rFonts w:hint="eastAsia"/>
                <w:color w:val="auto"/>
                <w:highlight w:val="none"/>
                <w:lang w:val="en-US" w:eastAsia="zh-CN"/>
              </w:rPr>
              <w:t>-</w:t>
            </w:r>
            <w:r>
              <w:rPr>
                <w:rFonts w:hint="eastAsia"/>
                <w:color w:val="auto"/>
                <w:highlight w:val="none"/>
              </w:rPr>
              <w:t>2023</w:t>
            </w:r>
            <w:r>
              <w:rPr>
                <w:rFonts w:hint="eastAsia"/>
                <w:color w:val="auto"/>
                <w:highlight w:val="none"/>
                <w:lang w:val="en-US" w:eastAsia="zh-CN"/>
              </w:rPr>
              <w:t>）</w:t>
            </w:r>
            <w:r>
              <w:rPr>
                <w:color w:val="auto"/>
                <w:highlight w:val="none"/>
              </w:rPr>
              <w:t>。</w:t>
            </w:r>
          </w:p>
          <w:p w14:paraId="16BFD251">
            <w:pPr>
              <w:bidi w:val="0"/>
              <w:rPr>
                <w:b/>
                <w:bCs/>
                <w:color w:val="auto"/>
                <w:highlight w:val="none"/>
              </w:rPr>
            </w:pPr>
            <w:r>
              <w:rPr>
                <w:b/>
                <w:bCs/>
                <w:color w:val="auto"/>
                <w:highlight w:val="none"/>
              </w:rPr>
              <w:t>（5）设置</w:t>
            </w:r>
            <w:sdt>
              <w:sdtPr>
                <w:rPr>
                  <w:color w:val="auto"/>
                </w:rPr>
                <w:alias w:val="语法错误"/>
                <w:tag w:val="reviewtag_FF0000"/>
                <w:id w:val="2021013"/>
              </w:sdtPr>
              <w:sdtEndPr>
                <w:rPr>
                  <w:color w:val="auto"/>
                </w:rPr>
              </w:sdtEndPr>
              <w:sdtContent>
                <w:bookmarkStart w:id="193" w:name="bkReivew2021013"/>
                <w:r>
                  <w:rPr>
                    <w:b/>
                    <w:bCs/>
                    <w:color w:val="auto"/>
                    <w:highlight w:val="none"/>
                  </w:rPr>
                  <w:t>标志牌</w:t>
                </w:r>
                <w:bookmarkEnd w:id="193"/>
              </w:sdtContent>
            </w:sdt>
            <w:r>
              <w:rPr>
                <w:b/>
                <w:bCs/>
                <w:color w:val="auto"/>
                <w:highlight w:val="none"/>
              </w:rPr>
              <w:t>要求</w:t>
            </w:r>
          </w:p>
          <w:p w14:paraId="29C3F5A6">
            <w:pPr>
              <w:bidi w:val="0"/>
              <w:rPr>
                <w:rFonts w:hint="eastAsia"/>
                <w:color w:val="auto"/>
                <w:highlight w:val="none"/>
                <w:lang w:val="en-US" w:eastAsia="zh-CN"/>
              </w:rPr>
            </w:pPr>
            <w:r>
              <w:rPr>
                <w:color w:val="auto"/>
                <w:highlight w:val="none"/>
              </w:rPr>
              <w:t>按照</w:t>
            </w:r>
            <w:r>
              <w:rPr>
                <w:rFonts w:hint="eastAsia"/>
                <w:color w:val="auto"/>
                <w:highlight w:val="none"/>
                <w:lang w:eastAsia="zh-CN"/>
              </w:rPr>
              <w:t>《</w:t>
            </w:r>
            <w:r>
              <w:rPr>
                <w:rFonts w:hint="eastAsia"/>
                <w:color w:val="auto"/>
                <w:highlight w:val="none"/>
                <w:lang w:val="en-US" w:eastAsia="zh-CN"/>
              </w:rPr>
              <w:t>关于规范市直管企业排污口环保图形标志的通知</w:t>
            </w:r>
            <w:r>
              <w:rPr>
                <w:rFonts w:hint="eastAsia"/>
                <w:color w:val="auto"/>
                <w:highlight w:val="none"/>
                <w:lang w:eastAsia="zh-CN"/>
              </w:rPr>
              <w:t>》（</w:t>
            </w:r>
            <w:r>
              <w:rPr>
                <w:rFonts w:hint="eastAsia"/>
                <w:color w:val="auto"/>
                <w:highlight w:val="none"/>
                <w:lang w:val="en-US" w:eastAsia="zh-CN"/>
              </w:rPr>
              <w:t>宁环办〔2014〕224号</w:t>
            </w:r>
            <w:r>
              <w:rPr>
                <w:rFonts w:hint="eastAsia"/>
                <w:color w:val="auto"/>
                <w:highlight w:val="none"/>
                <w:lang w:eastAsia="zh-CN"/>
              </w:rPr>
              <w:t>）</w:t>
            </w:r>
            <w:r>
              <w:rPr>
                <w:color w:val="auto"/>
                <w:highlight w:val="none"/>
              </w:rPr>
              <w:t>的规定，在各排污口设立相应的环境保护图形标志牌。</w:t>
            </w:r>
            <w:r>
              <w:rPr>
                <w:rFonts w:hint="eastAsia"/>
                <w:color w:val="auto"/>
                <w:highlight w:val="none"/>
                <w:lang w:val="en-US" w:eastAsia="zh-CN"/>
              </w:rPr>
              <w:t>根据《</w:t>
            </w:r>
            <w:r>
              <w:rPr>
                <w:rFonts w:hint="eastAsia"/>
                <w:color w:val="auto"/>
                <w:highlight w:val="none"/>
              </w:rPr>
              <w:t>危险废物识别标志设置技术规范</w:t>
            </w:r>
            <w:r>
              <w:rPr>
                <w:rFonts w:hint="eastAsia"/>
                <w:color w:val="auto"/>
                <w:highlight w:val="none"/>
                <w:lang w:val="en-US" w:eastAsia="zh-CN"/>
              </w:rPr>
              <w:t>》</w:t>
            </w:r>
            <w:r>
              <w:rPr>
                <w:rFonts w:hint="eastAsia"/>
                <w:color w:val="auto"/>
                <w:highlight w:val="none"/>
              </w:rPr>
              <w:t>（HJ 1276</w:t>
            </w:r>
            <w:r>
              <w:rPr>
                <w:rFonts w:hint="eastAsia"/>
                <w:color w:val="auto"/>
                <w:highlight w:val="none"/>
                <w:lang w:eastAsia="zh-CN"/>
              </w:rPr>
              <w:t>-</w:t>
            </w:r>
            <w:r>
              <w:rPr>
                <w:rFonts w:hint="eastAsia"/>
                <w:color w:val="auto"/>
                <w:highlight w:val="none"/>
              </w:rPr>
              <w:t>2022）</w:t>
            </w:r>
            <w:r>
              <w:rPr>
                <w:rFonts w:hint="eastAsia"/>
                <w:color w:val="auto"/>
                <w:highlight w:val="none"/>
                <w:lang w:val="en-US" w:eastAsia="zh-CN"/>
              </w:rPr>
              <w:t>设置危险废物标志牌。</w:t>
            </w:r>
          </w:p>
          <w:p w14:paraId="52AB2256">
            <w:pPr>
              <w:pStyle w:val="52"/>
              <w:bidi w:val="0"/>
              <w:ind w:left="5518" w:leftChars="0" w:hanging="5518" w:firstLineChars="0"/>
              <w:rPr>
                <w:color w:val="auto"/>
                <w:highlight w:val="none"/>
              </w:rPr>
            </w:pPr>
            <w:r>
              <w:rPr>
                <w:rFonts w:hint="eastAsia"/>
                <w:color w:val="auto"/>
                <w:highlight w:val="none"/>
                <w:lang w:val="en-US" w:eastAsia="zh-CN"/>
              </w:rPr>
              <w:t>标志牌</w:t>
            </w:r>
            <w:r>
              <w:rPr>
                <w:color w:val="auto"/>
                <w:highlight w:val="none"/>
              </w:rPr>
              <w:t>设置一览表</w:t>
            </w:r>
          </w:p>
          <w:tbl>
            <w:tblPr>
              <w:tblStyle w:val="33"/>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956"/>
              <w:gridCol w:w="1300"/>
              <w:gridCol w:w="717"/>
              <w:gridCol w:w="3915"/>
            </w:tblGrid>
            <w:tr w14:paraId="18CE58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35" w:type="pct"/>
                  <w:vAlign w:val="center"/>
                </w:tcPr>
                <w:p w14:paraId="0C7EA57D">
                  <w:pPr>
                    <w:pStyle w:val="48"/>
                    <w:bidi w:val="0"/>
                    <w:rPr>
                      <w:b/>
                      <w:bCs/>
                      <w:color w:val="auto"/>
                      <w:highlight w:val="none"/>
                    </w:rPr>
                  </w:pPr>
                  <w:r>
                    <w:rPr>
                      <w:b/>
                      <w:bCs/>
                      <w:color w:val="auto"/>
                      <w:highlight w:val="none"/>
                    </w:rPr>
                    <w:t>序号</w:t>
                  </w:r>
                </w:p>
              </w:tc>
              <w:tc>
                <w:tcPr>
                  <w:tcW w:w="1156" w:type="pct"/>
                  <w:vAlign w:val="center"/>
                </w:tcPr>
                <w:p w14:paraId="5B8E0FA3">
                  <w:pPr>
                    <w:pStyle w:val="48"/>
                    <w:bidi w:val="0"/>
                    <w:rPr>
                      <w:b/>
                      <w:bCs/>
                      <w:color w:val="auto"/>
                      <w:highlight w:val="none"/>
                    </w:rPr>
                  </w:pPr>
                  <w:r>
                    <w:rPr>
                      <w:b/>
                      <w:bCs/>
                      <w:color w:val="auto"/>
                      <w:highlight w:val="none"/>
                    </w:rPr>
                    <w:t>名称</w:t>
                  </w:r>
                </w:p>
              </w:tc>
              <w:tc>
                <w:tcPr>
                  <w:tcW w:w="768" w:type="pct"/>
                  <w:vAlign w:val="center"/>
                </w:tcPr>
                <w:p w14:paraId="58215F15">
                  <w:pPr>
                    <w:pStyle w:val="48"/>
                    <w:bidi w:val="0"/>
                    <w:rPr>
                      <w:b/>
                      <w:bCs/>
                      <w:color w:val="auto"/>
                      <w:highlight w:val="none"/>
                    </w:rPr>
                  </w:pPr>
                  <w:r>
                    <w:rPr>
                      <w:b/>
                      <w:bCs/>
                      <w:color w:val="auto"/>
                      <w:highlight w:val="none"/>
                    </w:rPr>
                    <w:t>具体位置</w:t>
                  </w:r>
                </w:p>
              </w:tc>
              <w:tc>
                <w:tcPr>
                  <w:tcW w:w="424" w:type="pct"/>
                  <w:vAlign w:val="center"/>
                </w:tcPr>
                <w:p w14:paraId="1F64D147">
                  <w:pPr>
                    <w:pStyle w:val="48"/>
                    <w:bidi w:val="0"/>
                    <w:rPr>
                      <w:b/>
                      <w:bCs/>
                      <w:color w:val="auto"/>
                      <w:highlight w:val="none"/>
                    </w:rPr>
                  </w:pPr>
                  <w:r>
                    <w:rPr>
                      <w:b/>
                      <w:bCs/>
                      <w:color w:val="auto"/>
                      <w:highlight w:val="none"/>
                    </w:rPr>
                    <w:t>数量</w:t>
                  </w:r>
                </w:p>
              </w:tc>
              <w:tc>
                <w:tcPr>
                  <w:tcW w:w="2315" w:type="pct"/>
                  <w:vAlign w:val="center"/>
                </w:tcPr>
                <w:p w14:paraId="2CA61B6C">
                  <w:pPr>
                    <w:pStyle w:val="48"/>
                    <w:bidi w:val="0"/>
                    <w:rPr>
                      <w:b/>
                      <w:bCs/>
                      <w:color w:val="auto"/>
                      <w:highlight w:val="none"/>
                    </w:rPr>
                  </w:pPr>
                  <w:r>
                    <w:rPr>
                      <w:b/>
                      <w:bCs/>
                      <w:color w:val="auto"/>
                      <w:highlight w:val="none"/>
                    </w:rPr>
                    <w:t>排放因子</w:t>
                  </w:r>
                </w:p>
              </w:tc>
            </w:tr>
            <w:tr w14:paraId="30B940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35" w:type="pct"/>
                  <w:vAlign w:val="center"/>
                </w:tcPr>
                <w:p w14:paraId="0C499A7A">
                  <w:pPr>
                    <w:pStyle w:val="48"/>
                    <w:numPr>
                      <w:ilvl w:val="0"/>
                      <w:numId w:val="27"/>
                    </w:numPr>
                    <w:rPr>
                      <w:rFonts w:hint="eastAsia" w:ascii="Times New Roman" w:hAnsi="Times New Roman" w:eastAsia="宋体" w:cs="Times New Roman"/>
                      <w:color w:val="auto"/>
                      <w:highlight w:val="none"/>
                      <w:lang w:val="en-US" w:eastAsia="zh-CN"/>
                    </w:rPr>
                  </w:pPr>
                </w:p>
              </w:tc>
              <w:tc>
                <w:tcPr>
                  <w:tcW w:w="1156" w:type="pct"/>
                  <w:vAlign w:val="center"/>
                </w:tcPr>
                <w:p w14:paraId="0C270E69">
                  <w:pPr>
                    <w:pStyle w:val="48"/>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废水</w:t>
                  </w:r>
                  <w:r>
                    <w:rPr>
                      <w:rFonts w:ascii="Times New Roman" w:hAnsi="Times New Roman" w:eastAsia="宋体" w:cs="Times New Roman"/>
                      <w:color w:val="auto"/>
                      <w:highlight w:val="none"/>
                    </w:rPr>
                    <w:t>总排口</w:t>
                  </w:r>
                  <w:r>
                    <w:rPr>
                      <w:rFonts w:hint="eastAsia" w:ascii="Times New Roman" w:hAnsi="Times New Roman" w:eastAsia="宋体" w:cs="Times New Roman"/>
                      <w:color w:val="auto"/>
                      <w:highlight w:val="none"/>
                      <w:lang w:val="en-US" w:eastAsia="zh-CN"/>
                    </w:rPr>
                    <w:t>DW001</w:t>
                  </w:r>
                </w:p>
              </w:tc>
              <w:tc>
                <w:tcPr>
                  <w:tcW w:w="768" w:type="pct"/>
                  <w:vAlign w:val="center"/>
                </w:tcPr>
                <w:p w14:paraId="5F03BC04">
                  <w:pPr>
                    <w:pStyle w:val="48"/>
                    <w:bidi w:val="0"/>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园区东侧</w:t>
                  </w:r>
                </w:p>
              </w:tc>
              <w:tc>
                <w:tcPr>
                  <w:tcW w:w="424" w:type="pct"/>
                  <w:vAlign w:val="center"/>
                </w:tcPr>
                <w:p w14:paraId="0A412F70">
                  <w:pPr>
                    <w:pStyle w:val="48"/>
                    <w:bidi w:val="0"/>
                    <w:rPr>
                      <w:rFonts w:ascii="Times New Roman" w:hAnsi="Times New Roman" w:eastAsia="宋体" w:cs="Times New Roman"/>
                      <w:color w:val="auto"/>
                      <w:highlight w:val="none"/>
                    </w:rPr>
                  </w:pPr>
                  <w:r>
                    <w:rPr>
                      <w:rFonts w:ascii="Times New Roman" w:hAnsi="Times New Roman" w:eastAsia="宋体" w:cs="Times New Roman"/>
                      <w:color w:val="auto"/>
                      <w:highlight w:val="none"/>
                    </w:rPr>
                    <w:t>1个</w:t>
                  </w:r>
                </w:p>
              </w:tc>
              <w:tc>
                <w:tcPr>
                  <w:tcW w:w="2315" w:type="pct"/>
                  <w:vAlign w:val="center"/>
                </w:tcPr>
                <w:p w14:paraId="75AEE4D6">
                  <w:pPr>
                    <w:pStyle w:val="48"/>
                    <w:bidi w:val="0"/>
                    <w:ind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lang w:val="en-US" w:eastAsia="zh-CN"/>
                    </w:rPr>
                    <w:t>pH、</w:t>
                  </w:r>
                  <w:r>
                    <w:rPr>
                      <w:rFonts w:hint="eastAsia" w:ascii="Times New Roman" w:hAnsi="Times New Roman" w:eastAsia="宋体" w:cs="Times New Roman"/>
                      <w:color w:val="auto"/>
                      <w:lang w:val="zh-CN"/>
                    </w:rPr>
                    <w:t>COD、SS、NH</w:t>
                  </w:r>
                  <w:r>
                    <w:rPr>
                      <w:rFonts w:hint="eastAsia" w:ascii="Times New Roman" w:hAnsi="Times New Roman" w:eastAsia="宋体" w:cs="Times New Roman"/>
                      <w:color w:val="auto"/>
                      <w:vertAlign w:val="subscript"/>
                      <w:lang w:val="zh-CN"/>
                    </w:rPr>
                    <w:t>3</w:t>
                  </w:r>
                  <w:r>
                    <w:rPr>
                      <w:rFonts w:hint="eastAsia" w:ascii="Times New Roman" w:hAnsi="Times New Roman" w:eastAsia="宋体" w:cs="Times New Roman"/>
                      <w:color w:val="auto"/>
                      <w:lang w:val="zh-CN"/>
                    </w:rPr>
                    <w:t>-N、TP、</w:t>
                  </w:r>
                  <w:r>
                    <w:rPr>
                      <w:rFonts w:hint="eastAsia" w:ascii="Times New Roman" w:hAnsi="Times New Roman" w:eastAsia="宋体" w:cs="Times New Roman"/>
                      <w:color w:val="auto"/>
                      <w:lang w:val="en-US" w:eastAsia="zh-CN"/>
                    </w:rPr>
                    <w:t>TN</w:t>
                  </w:r>
                </w:p>
              </w:tc>
            </w:tr>
            <w:tr w14:paraId="2F5CD3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35" w:type="pct"/>
                  <w:vAlign w:val="center"/>
                </w:tcPr>
                <w:p w14:paraId="2029ABE5">
                  <w:pPr>
                    <w:pStyle w:val="48"/>
                    <w:numPr>
                      <w:ilvl w:val="0"/>
                      <w:numId w:val="27"/>
                    </w:numPr>
                    <w:rPr>
                      <w:rFonts w:hint="eastAsia" w:ascii="Times New Roman" w:hAnsi="Times New Roman" w:eastAsia="宋体" w:cs="Times New Roman"/>
                      <w:color w:val="auto"/>
                      <w:highlight w:val="none"/>
                      <w:lang w:val="en-US" w:eastAsia="zh-CN"/>
                    </w:rPr>
                  </w:pPr>
                </w:p>
              </w:tc>
              <w:tc>
                <w:tcPr>
                  <w:tcW w:w="1156" w:type="pct"/>
                  <w:vAlign w:val="center"/>
                </w:tcPr>
                <w:p w14:paraId="6839EEF1">
                  <w:pPr>
                    <w:pStyle w:val="48"/>
                    <w:bidi w:val="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雨水排口DW002</w:t>
                  </w:r>
                </w:p>
              </w:tc>
              <w:tc>
                <w:tcPr>
                  <w:tcW w:w="768" w:type="pct"/>
                  <w:vAlign w:val="center"/>
                </w:tcPr>
                <w:p w14:paraId="6D885A5F">
                  <w:pPr>
                    <w:pStyle w:val="48"/>
                    <w:bidi w:val="0"/>
                    <w:rPr>
                      <w:rFonts w:ascii="Times New Roman" w:hAnsi="Times New Roman" w:eastAsia="宋体" w:cs="Times New Roman"/>
                      <w:color w:val="auto"/>
                      <w:highlight w:val="none"/>
                    </w:rPr>
                  </w:pPr>
                  <w:r>
                    <w:rPr>
                      <w:rFonts w:hint="eastAsia" w:cs="Times New Roman"/>
                      <w:color w:val="auto"/>
                      <w:highlight w:val="none"/>
                      <w:lang w:val="en-US" w:eastAsia="zh-CN"/>
                    </w:rPr>
                    <w:t>园区东侧</w:t>
                  </w:r>
                </w:p>
              </w:tc>
              <w:tc>
                <w:tcPr>
                  <w:tcW w:w="424" w:type="pct"/>
                  <w:vAlign w:val="center"/>
                </w:tcPr>
                <w:p w14:paraId="492BA12F">
                  <w:pPr>
                    <w:pStyle w:val="48"/>
                    <w:bidi w:val="0"/>
                    <w:rPr>
                      <w:color w:val="auto"/>
                      <w:highlight w:val="none"/>
                    </w:rPr>
                  </w:pPr>
                  <w:r>
                    <w:rPr>
                      <w:color w:val="auto"/>
                      <w:highlight w:val="none"/>
                    </w:rPr>
                    <w:t>1个</w:t>
                  </w:r>
                </w:p>
              </w:tc>
              <w:tc>
                <w:tcPr>
                  <w:tcW w:w="2315" w:type="pct"/>
                  <w:vAlign w:val="center"/>
                </w:tcPr>
                <w:p w14:paraId="773DB315">
                  <w:pPr>
                    <w:pStyle w:val="48"/>
                    <w:bidi w:val="0"/>
                    <w:ind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zh-CN"/>
                    </w:rPr>
                    <w:t>COD、SS</w:t>
                  </w:r>
                </w:p>
              </w:tc>
            </w:tr>
            <w:tr w14:paraId="51E8CA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335" w:type="pct"/>
                  <w:vAlign w:val="center"/>
                </w:tcPr>
                <w:p w14:paraId="07761E7D">
                  <w:pPr>
                    <w:pStyle w:val="48"/>
                    <w:numPr>
                      <w:ilvl w:val="0"/>
                      <w:numId w:val="27"/>
                    </w:numPr>
                    <w:rPr>
                      <w:rFonts w:hint="default" w:ascii="Times New Roman" w:hAnsi="Times New Roman" w:eastAsia="宋体" w:cs="Times New Roman"/>
                      <w:color w:val="auto"/>
                      <w:highlight w:val="none"/>
                      <w:lang w:val="en-US" w:eastAsia="zh-CN"/>
                    </w:rPr>
                  </w:pPr>
                </w:p>
              </w:tc>
              <w:tc>
                <w:tcPr>
                  <w:tcW w:w="1156" w:type="pct"/>
                  <w:vAlign w:val="center"/>
                </w:tcPr>
                <w:p w14:paraId="5E9EAFD5">
                  <w:pPr>
                    <w:pStyle w:val="48"/>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一般固废库</w:t>
                  </w:r>
                </w:p>
              </w:tc>
              <w:tc>
                <w:tcPr>
                  <w:tcW w:w="768" w:type="pct"/>
                  <w:vAlign w:val="center"/>
                </w:tcPr>
                <w:p w14:paraId="1782660A">
                  <w:pPr>
                    <w:pStyle w:val="48"/>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车间北部</w:t>
                  </w:r>
                </w:p>
              </w:tc>
              <w:tc>
                <w:tcPr>
                  <w:tcW w:w="424" w:type="pct"/>
                  <w:vAlign w:val="center"/>
                </w:tcPr>
                <w:p w14:paraId="64695189">
                  <w:pPr>
                    <w:pStyle w:val="48"/>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1个</w:t>
                  </w:r>
                </w:p>
              </w:tc>
              <w:tc>
                <w:tcPr>
                  <w:tcW w:w="2315" w:type="pct"/>
                  <w:vAlign w:val="center"/>
                </w:tcPr>
                <w:p w14:paraId="63550EC6">
                  <w:pPr>
                    <w:pStyle w:val="48"/>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r>
            <w:tr w14:paraId="102E88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335" w:type="pct"/>
                  <w:vAlign w:val="center"/>
                </w:tcPr>
                <w:p w14:paraId="461A7622">
                  <w:pPr>
                    <w:pStyle w:val="48"/>
                    <w:numPr>
                      <w:ilvl w:val="0"/>
                      <w:numId w:val="27"/>
                    </w:numPr>
                    <w:rPr>
                      <w:rFonts w:hint="default" w:ascii="Times New Roman" w:hAnsi="Times New Roman" w:eastAsia="宋体" w:cs="Times New Roman"/>
                      <w:color w:val="auto"/>
                      <w:highlight w:val="none"/>
                      <w:lang w:val="en-US" w:eastAsia="zh-CN"/>
                    </w:rPr>
                  </w:pPr>
                </w:p>
              </w:tc>
              <w:tc>
                <w:tcPr>
                  <w:tcW w:w="1156" w:type="pct"/>
                  <w:vAlign w:val="center"/>
                </w:tcPr>
                <w:p w14:paraId="24FC698C">
                  <w:pPr>
                    <w:pStyle w:val="48"/>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危废贮存点</w:t>
                  </w:r>
                </w:p>
              </w:tc>
              <w:tc>
                <w:tcPr>
                  <w:tcW w:w="768" w:type="pct"/>
                  <w:vAlign w:val="center"/>
                </w:tcPr>
                <w:p w14:paraId="5770E0E7">
                  <w:pPr>
                    <w:pStyle w:val="48"/>
                    <w:bidi w:val="0"/>
                    <w:rPr>
                      <w:rFonts w:hint="default" w:cs="Times New Roman"/>
                      <w:color w:val="auto"/>
                      <w:highlight w:val="none"/>
                      <w:lang w:val="en-US" w:eastAsia="zh-CN"/>
                    </w:rPr>
                  </w:pPr>
                  <w:r>
                    <w:rPr>
                      <w:rFonts w:hint="eastAsia" w:cs="Times New Roman"/>
                      <w:color w:val="auto"/>
                      <w:highlight w:val="none"/>
                      <w:lang w:val="en-US" w:eastAsia="zh-CN"/>
                    </w:rPr>
                    <w:t>测试区</w:t>
                  </w:r>
                </w:p>
              </w:tc>
              <w:tc>
                <w:tcPr>
                  <w:tcW w:w="424" w:type="pct"/>
                  <w:vAlign w:val="center"/>
                </w:tcPr>
                <w:p w14:paraId="29E7FDBD">
                  <w:pPr>
                    <w:pStyle w:val="48"/>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1个</w:t>
                  </w:r>
                </w:p>
              </w:tc>
              <w:tc>
                <w:tcPr>
                  <w:tcW w:w="2315" w:type="pct"/>
                  <w:vAlign w:val="center"/>
                </w:tcPr>
                <w:p w14:paraId="66F0365C">
                  <w:pPr>
                    <w:pStyle w:val="48"/>
                    <w:bidi w:val="0"/>
                    <w:rPr>
                      <w:rFonts w:hint="default" w:cs="Times New Roman"/>
                      <w:color w:val="auto"/>
                      <w:highlight w:val="none"/>
                      <w:lang w:val="en-US" w:eastAsia="zh-CN"/>
                    </w:rPr>
                  </w:pPr>
                  <w:r>
                    <w:rPr>
                      <w:rFonts w:hint="eastAsia" w:cs="Times New Roman"/>
                      <w:color w:val="auto"/>
                      <w:highlight w:val="none"/>
                      <w:lang w:val="en-US" w:eastAsia="zh-CN"/>
                    </w:rPr>
                    <w:t>-</w:t>
                  </w:r>
                </w:p>
              </w:tc>
            </w:tr>
          </w:tbl>
          <w:p w14:paraId="444CAA7B">
            <w:pPr>
              <w:bidi w:val="0"/>
              <w:rPr>
                <w:b/>
                <w:bCs/>
                <w:color w:val="auto"/>
                <w:highlight w:val="none"/>
              </w:rPr>
            </w:pPr>
            <w:r>
              <w:rPr>
                <w:rFonts w:hint="eastAsia"/>
                <w:b/>
                <w:bCs/>
                <w:color w:val="auto"/>
                <w:highlight w:val="none"/>
                <w:lang w:val="en-US" w:eastAsia="zh-CN"/>
              </w:rPr>
              <w:t>8.</w:t>
            </w:r>
            <w:r>
              <w:rPr>
                <w:rFonts w:hint="eastAsia"/>
                <w:b/>
                <w:bCs/>
                <w:color w:val="auto"/>
                <w:highlight w:val="none"/>
              </w:rPr>
              <w:t>环境管理</w:t>
            </w:r>
          </w:p>
          <w:p w14:paraId="21C41FE8">
            <w:pPr>
              <w:bidi w:val="0"/>
              <w:rPr>
                <w:b/>
                <w:bCs/>
                <w:color w:val="auto"/>
                <w:highlight w:val="none"/>
                <w:lang w:val="zh-CN"/>
              </w:rPr>
            </w:pPr>
            <w:r>
              <w:rPr>
                <w:b/>
                <w:bCs/>
                <w:color w:val="auto"/>
                <w:highlight w:val="none"/>
                <w:lang w:val="zh-CN"/>
              </w:rPr>
              <w:t>（</w:t>
            </w:r>
            <w:r>
              <w:rPr>
                <w:b/>
                <w:bCs/>
                <w:color w:val="auto"/>
                <w:highlight w:val="none"/>
              </w:rPr>
              <w:t>1</w:t>
            </w:r>
            <w:r>
              <w:rPr>
                <w:b/>
                <w:bCs/>
                <w:color w:val="auto"/>
                <w:highlight w:val="none"/>
                <w:lang w:val="zh-CN"/>
              </w:rPr>
              <w:t>）环境管理机构</w:t>
            </w:r>
          </w:p>
          <w:p w14:paraId="4156374E">
            <w:pPr>
              <w:bidi w:val="0"/>
              <w:rPr>
                <w:color w:val="auto"/>
                <w:highlight w:val="none"/>
                <w:lang w:val="zh-CN"/>
              </w:rPr>
            </w:pPr>
            <w:bookmarkStart w:id="194" w:name="sys2535067"/>
            <w:r>
              <w:rPr>
                <w:color w:val="auto"/>
                <w:highlight w:val="none"/>
                <w:lang w:val="zh-CN"/>
              </w:rPr>
              <w:t>项目建成后，</w:t>
            </w:r>
            <w:r>
              <w:rPr>
                <w:rFonts w:hint="eastAsia"/>
                <w:color w:val="auto"/>
                <w:highlight w:val="none"/>
                <w:lang w:val="zh-CN"/>
              </w:rPr>
              <w:t>厂区</w:t>
            </w:r>
            <w:bookmarkStart w:id="195" w:name="bkReivew3181254"/>
            <w:r>
              <w:rPr>
                <w:rFonts w:hint="eastAsia"/>
                <w:color w:val="auto"/>
                <w:highlight w:val="none"/>
                <w:lang w:val="zh-CN"/>
              </w:rPr>
              <w:t>将设置</w:t>
            </w:r>
            <w:bookmarkEnd w:id="195"/>
            <w:r>
              <w:rPr>
                <w:color w:val="auto"/>
                <w:highlight w:val="none"/>
                <w:lang w:val="zh-CN"/>
              </w:rPr>
              <w:t>专门的环境管理机构，配备专职环保人员</w:t>
            </w:r>
            <w:r>
              <w:rPr>
                <w:rFonts w:hint="eastAsia"/>
                <w:color w:val="auto"/>
                <w:highlight w:val="none"/>
                <w:lang w:val="en-US" w:eastAsia="zh-CN"/>
              </w:rPr>
              <w:t>1</w:t>
            </w:r>
            <w:r>
              <w:rPr>
                <w:color w:val="auto"/>
                <w:highlight w:val="none"/>
              </w:rPr>
              <w:t>名，负责环境监督管理工作，同时要加强对管理人员的环保培训，不断提高管理水平。</w:t>
            </w:r>
            <w:bookmarkEnd w:id="194"/>
          </w:p>
          <w:p w14:paraId="3D1686BC">
            <w:pPr>
              <w:bidi w:val="0"/>
              <w:rPr>
                <w:b/>
                <w:bCs/>
                <w:color w:val="auto"/>
                <w:highlight w:val="none"/>
                <w:lang w:val="zh-CN"/>
              </w:rPr>
            </w:pPr>
            <w:r>
              <w:rPr>
                <w:b/>
                <w:bCs/>
                <w:color w:val="auto"/>
                <w:highlight w:val="none"/>
                <w:lang w:val="zh-CN"/>
              </w:rPr>
              <w:t>（2）环境管理内容</w:t>
            </w:r>
          </w:p>
          <w:p w14:paraId="02715B1C">
            <w:pPr>
              <w:bidi w:val="0"/>
              <w:rPr>
                <w:color w:val="auto"/>
                <w:highlight w:val="none"/>
                <w:lang w:val="zh-CN"/>
              </w:rPr>
            </w:pPr>
            <w:bookmarkStart w:id="196" w:name="sys2537049"/>
            <w:r>
              <w:rPr>
                <w:color w:val="auto"/>
                <w:highlight w:val="none"/>
                <w:lang w:val="zh-CN"/>
              </w:rPr>
              <w:t>项目在生产运行过程中为保证环境管理系统的有效运行应制定环境管理方案，环境管理方案主要包括下列内容</w:t>
            </w:r>
            <w:r>
              <w:rPr>
                <w:rFonts w:hint="eastAsia"/>
                <w:color w:val="auto"/>
                <w:highlight w:val="none"/>
                <w:lang w:val="zh-CN"/>
              </w:rPr>
              <w:t>。</w:t>
            </w:r>
            <w:bookmarkEnd w:id="196"/>
          </w:p>
          <w:p w14:paraId="706A3079">
            <w:pPr>
              <w:bidi w:val="0"/>
              <w:rPr>
                <w:color w:val="auto"/>
                <w:highlight w:val="none"/>
                <w:lang w:val="zh-CN"/>
              </w:rPr>
            </w:pPr>
            <w:bookmarkStart w:id="197" w:name="sys2538067"/>
            <w:r>
              <w:rPr>
                <w:rFonts w:hint="eastAsia"/>
                <w:color w:val="auto"/>
                <w:highlight w:val="none"/>
                <w:lang w:val="en-US" w:eastAsia="zh-CN"/>
              </w:rPr>
              <w:t>1）</w:t>
            </w:r>
            <w:r>
              <w:rPr>
                <w:color w:val="auto"/>
                <w:highlight w:val="none"/>
                <w:lang w:val="zh-CN"/>
              </w:rPr>
              <w:t>组织贯彻国家及地方的有关环保方针、政策</w:t>
            </w:r>
            <w:sdt>
              <w:sdtPr>
                <w:rPr>
                  <w:color w:val="auto"/>
                  <w:highlight w:val="none"/>
                </w:rPr>
                <w:alias w:val="字词错误"/>
                <w:tag w:val="reviewtag_FF0000"/>
                <w:id w:val="100021"/>
              </w:sdtPr>
              <w:sdtEndPr>
                <w:rPr>
                  <w:color w:val="auto"/>
                  <w:highlight w:val="none"/>
                </w:rPr>
              </w:sdtEndPr>
              <w:sdtContent>
                <w:bookmarkStart w:id="198" w:name="bkReivew100021"/>
                <w:r>
                  <w:rPr>
                    <w:color w:val="auto"/>
                    <w:highlight w:val="none"/>
                    <w:lang w:val="zh-CN"/>
                  </w:rPr>
                  <w:t>法令</w:t>
                </w:r>
                <w:bookmarkEnd w:id="198"/>
              </w:sdtContent>
            </w:sdt>
            <w:r>
              <w:rPr>
                <w:color w:val="auto"/>
                <w:highlight w:val="none"/>
                <w:lang w:val="zh-CN"/>
              </w:rPr>
              <w:t>和条例，搞好环境教育和技术培训，</w:t>
            </w:r>
            <w:r>
              <w:rPr>
                <w:rFonts w:hint="eastAsia"/>
                <w:color w:val="auto"/>
                <w:highlight w:val="none"/>
                <w:lang w:val="zh-CN"/>
              </w:rPr>
              <w:t>增强</w:t>
            </w:r>
            <w:r>
              <w:rPr>
                <w:color w:val="auto"/>
                <w:highlight w:val="none"/>
                <w:lang w:val="zh-CN"/>
              </w:rPr>
              <w:t>公司职工的环保意识和技术水平，提高污染控制的责任心。</w:t>
            </w:r>
            <w:bookmarkEnd w:id="197"/>
          </w:p>
          <w:p w14:paraId="798A47D9">
            <w:pPr>
              <w:bidi w:val="0"/>
              <w:rPr>
                <w:color w:val="auto"/>
                <w:highlight w:val="none"/>
                <w:lang w:val="zh-CN"/>
              </w:rPr>
            </w:pPr>
            <w:bookmarkStart w:id="199" w:name="sys2539066"/>
            <w:r>
              <w:rPr>
                <w:rFonts w:hint="eastAsia"/>
                <w:color w:val="auto"/>
                <w:highlight w:val="none"/>
                <w:lang w:val="en-US" w:eastAsia="zh-CN"/>
              </w:rPr>
              <w:t>2）</w:t>
            </w:r>
            <w:r>
              <w:rPr>
                <w:color w:val="auto"/>
                <w:highlight w:val="none"/>
                <w:lang w:val="zh-CN"/>
              </w:rPr>
              <w:t>制定并实施公司环境保护工作的长期规划及年度污染治理计划：定期检查环保设施的运行状况及对设备的维修与管理，严格控制</w:t>
            </w:r>
            <w:r>
              <w:rPr>
                <w:rFonts w:hint="eastAsia"/>
                <w:color w:val="auto"/>
                <w:highlight w:val="none"/>
                <w:lang w:val="zh-CN"/>
              </w:rPr>
              <w:t>“</w:t>
            </w:r>
            <w:r>
              <w:rPr>
                <w:color w:val="auto"/>
                <w:highlight w:val="none"/>
                <w:lang w:val="zh-CN"/>
              </w:rPr>
              <w:t>三废</w:t>
            </w:r>
            <w:r>
              <w:rPr>
                <w:rFonts w:hint="eastAsia"/>
                <w:color w:val="auto"/>
                <w:highlight w:val="none"/>
                <w:lang w:val="zh-CN"/>
              </w:rPr>
              <w:t>”</w:t>
            </w:r>
            <w:r>
              <w:rPr>
                <w:color w:val="auto"/>
                <w:highlight w:val="none"/>
                <w:lang w:val="zh-CN"/>
              </w:rPr>
              <w:t>的排放。</w:t>
            </w:r>
            <w:bookmarkEnd w:id="199"/>
          </w:p>
          <w:p w14:paraId="378E1BA9">
            <w:pPr>
              <w:bidi w:val="0"/>
              <w:rPr>
                <w:color w:val="auto"/>
                <w:highlight w:val="none"/>
                <w:lang w:val="zh-CN"/>
              </w:rPr>
            </w:pPr>
            <w:r>
              <w:rPr>
                <w:rFonts w:hint="eastAsia"/>
                <w:color w:val="auto"/>
                <w:highlight w:val="none"/>
                <w:lang w:val="en-US" w:eastAsia="zh-CN"/>
              </w:rPr>
              <w:t>3）</w:t>
            </w:r>
            <w:r>
              <w:rPr>
                <w:color w:val="auto"/>
                <w:highlight w:val="none"/>
                <w:lang w:val="zh-CN"/>
              </w:rPr>
              <w:t>掌握公司内部污染物排放状况，编制公司内部环境状况报告。</w:t>
            </w:r>
          </w:p>
          <w:p w14:paraId="7FDA656B">
            <w:pPr>
              <w:bidi w:val="0"/>
              <w:rPr>
                <w:color w:val="auto"/>
                <w:highlight w:val="none"/>
                <w:lang w:val="zh-CN"/>
              </w:rPr>
            </w:pPr>
            <w:bookmarkStart w:id="200" w:name="sys2541038"/>
            <w:r>
              <w:rPr>
                <w:rFonts w:hint="eastAsia"/>
                <w:color w:val="auto"/>
                <w:highlight w:val="none"/>
                <w:lang w:val="en-US" w:eastAsia="zh-CN"/>
              </w:rPr>
              <w:t>4）</w:t>
            </w:r>
            <w:r>
              <w:rPr>
                <w:color w:val="auto"/>
                <w:highlight w:val="none"/>
                <w:lang w:val="zh-CN"/>
              </w:rPr>
              <w:t>组织环境监测，检查公司环境状况，并及时将环境监测信息向</w:t>
            </w:r>
            <w:r>
              <w:rPr>
                <w:rFonts w:hint="eastAsia"/>
                <w:color w:val="auto"/>
                <w:highlight w:val="none"/>
                <w:lang w:val="en-US" w:eastAsia="zh-CN"/>
              </w:rPr>
              <w:t>生态环境</w:t>
            </w:r>
            <w:r>
              <w:rPr>
                <w:color w:val="auto"/>
                <w:highlight w:val="none"/>
                <w:lang w:val="zh-CN"/>
              </w:rPr>
              <w:t>部门通报。</w:t>
            </w:r>
            <w:bookmarkEnd w:id="200"/>
          </w:p>
          <w:p w14:paraId="6E6FC9FF">
            <w:pPr>
              <w:bidi w:val="0"/>
              <w:rPr>
                <w:color w:val="auto"/>
                <w:highlight w:val="none"/>
                <w:lang w:val="zh-CN"/>
              </w:rPr>
            </w:pPr>
            <w:bookmarkStart w:id="201" w:name="sys2542039"/>
            <w:r>
              <w:rPr>
                <w:rFonts w:hint="eastAsia"/>
                <w:color w:val="auto"/>
                <w:highlight w:val="none"/>
                <w:lang w:val="en-US" w:eastAsia="zh-CN"/>
              </w:rPr>
              <w:t>5）</w:t>
            </w:r>
            <w:r>
              <w:rPr>
                <w:color w:val="auto"/>
                <w:highlight w:val="none"/>
                <w:lang w:val="zh-CN"/>
              </w:rPr>
              <w:t>调查处理公司内污染事故和污染纠纷</w:t>
            </w:r>
            <w:r>
              <w:rPr>
                <w:rFonts w:hint="eastAsia"/>
                <w:color w:val="auto"/>
                <w:highlight w:val="none"/>
                <w:lang w:val="zh-CN"/>
              </w:rPr>
              <w:t>，</w:t>
            </w:r>
            <w:r>
              <w:rPr>
                <w:color w:val="auto"/>
                <w:highlight w:val="none"/>
                <w:lang w:val="zh-CN"/>
              </w:rPr>
              <w:t>建立污染突发事故分类分级档案和处理制度。</w:t>
            </w:r>
            <w:bookmarkEnd w:id="201"/>
          </w:p>
          <w:p w14:paraId="1719DAD0">
            <w:pPr>
              <w:bidi w:val="0"/>
              <w:rPr>
                <w:b/>
                <w:bCs/>
                <w:color w:val="auto"/>
                <w:highlight w:val="none"/>
                <w:lang w:val="zh-CN"/>
              </w:rPr>
            </w:pPr>
            <w:r>
              <w:rPr>
                <w:b/>
                <w:bCs/>
                <w:color w:val="auto"/>
                <w:highlight w:val="none"/>
                <w:lang w:val="zh-CN"/>
              </w:rPr>
              <w:t>（3）环境管理制度的建立</w:t>
            </w:r>
          </w:p>
          <w:p w14:paraId="3FF0F664">
            <w:pPr>
              <w:bidi w:val="0"/>
              <w:rPr>
                <w:b/>
                <w:bCs/>
                <w:color w:val="auto"/>
                <w:highlight w:val="none"/>
                <w:lang w:val="zh-CN"/>
              </w:rPr>
            </w:pPr>
            <w:r>
              <w:rPr>
                <w:rFonts w:hint="eastAsia"/>
                <w:b/>
                <w:bCs/>
                <w:color w:val="auto"/>
                <w:highlight w:val="none"/>
              </w:rPr>
              <w:t>1）</w:t>
            </w:r>
            <w:r>
              <w:rPr>
                <w:b/>
                <w:bCs/>
                <w:color w:val="auto"/>
                <w:highlight w:val="none"/>
                <w:lang w:val="zh-CN"/>
              </w:rPr>
              <w:t>排污许可制度</w:t>
            </w:r>
          </w:p>
          <w:p w14:paraId="514858DF">
            <w:pPr>
              <w:bidi w:val="0"/>
              <w:rPr>
                <w:rFonts w:hint="eastAsia"/>
                <w:color w:val="auto"/>
                <w:highlight w:val="none"/>
              </w:rPr>
            </w:pPr>
            <w:r>
              <w:rPr>
                <w:rFonts w:hint="eastAsia"/>
                <w:color w:val="auto"/>
                <w:highlight w:val="none"/>
                <w:lang w:val="en-US" w:eastAsia="zh-CN"/>
              </w:rPr>
              <w:t>本项目</w:t>
            </w:r>
            <w:r>
              <w:rPr>
                <w:rFonts w:hint="eastAsia"/>
                <w:color w:val="auto"/>
                <w:highlight w:val="none"/>
              </w:rPr>
              <w:t>属于《国民经济行业分类》（GB/T</w:t>
            </w:r>
            <w:r>
              <w:rPr>
                <w:rFonts w:hint="eastAsia"/>
                <w:color w:val="auto"/>
                <w:highlight w:val="none"/>
                <w:lang w:val="en-US" w:eastAsia="zh-CN"/>
              </w:rPr>
              <w:t>4</w:t>
            </w:r>
            <w:r>
              <w:rPr>
                <w:rFonts w:hint="eastAsia"/>
                <w:color w:val="auto"/>
                <w:highlight w:val="none"/>
              </w:rPr>
              <w:t>754-2017）的</w:t>
            </w:r>
            <w:r>
              <w:rPr>
                <w:rFonts w:hint="default" w:ascii="Times New Roman" w:hAnsi="Times New Roman" w:eastAsia="宋体" w:cs="Times New Roman"/>
                <w:color w:val="auto"/>
                <w:szCs w:val="22"/>
                <w:highlight w:val="none"/>
                <w:lang w:val="en-US" w:eastAsia="zh-CN"/>
              </w:rPr>
              <w:t>C</w:t>
            </w:r>
            <w:r>
              <w:rPr>
                <w:rFonts w:hint="eastAsia" w:cs="Times New Roman"/>
                <w:color w:val="auto"/>
                <w:szCs w:val="22"/>
                <w:highlight w:val="none"/>
                <w:lang w:val="en-US" w:eastAsia="zh-CN"/>
              </w:rPr>
              <w:t>3969其他智能消费设备制造</w:t>
            </w:r>
            <w:r>
              <w:rPr>
                <w:rFonts w:hint="eastAsia"/>
                <w:color w:val="auto"/>
                <w:highlight w:val="none"/>
                <w:lang w:eastAsia="zh-CN"/>
              </w:rPr>
              <w:t>，</w:t>
            </w:r>
            <w:r>
              <w:rPr>
                <w:rFonts w:hint="eastAsia"/>
                <w:color w:val="auto"/>
                <w:highlight w:val="none"/>
              </w:rPr>
              <w:t>对照《固定污染源排污许可分类管理名录》（2019年版），</w:t>
            </w:r>
            <w:r>
              <w:rPr>
                <w:rFonts w:hint="eastAsia"/>
                <w:color w:val="auto"/>
                <w:highlight w:val="none"/>
                <w:lang w:eastAsia="zh-CN"/>
              </w:rPr>
              <w:t>其</w:t>
            </w:r>
            <w:r>
              <w:rPr>
                <w:rFonts w:hint="eastAsia"/>
                <w:color w:val="auto"/>
                <w:highlight w:val="none"/>
              </w:rPr>
              <w:t>属于名录表中的“三十</w:t>
            </w:r>
            <w:r>
              <w:rPr>
                <w:rFonts w:hint="eastAsia"/>
                <w:color w:val="auto"/>
                <w:highlight w:val="none"/>
                <w:lang w:val="en-US" w:eastAsia="zh-CN"/>
              </w:rPr>
              <w:t>四</w:t>
            </w:r>
            <w:r>
              <w:rPr>
                <w:rFonts w:hint="eastAsia"/>
                <w:color w:val="auto"/>
                <w:highlight w:val="none"/>
              </w:rPr>
              <w:t>、</w:t>
            </w:r>
            <w:r>
              <w:rPr>
                <w:rFonts w:hint="eastAsia"/>
                <w:color w:val="auto"/>
                <w:highlight w:val="none"/>
                <w:lang w:val="en-US" w:eastAsia="zh-CN"/>
              </w:rPr>
              <w:t>计算机、通信和其他电子设备制</w:t>
            </w:r>
            <w:r>
              <w:rPr>
                <w:rFonts w:hint="eastAsia"/>
                <w:color w:val="auto"/>
                <w:highlight w:val="none"/>
              </w:rPr>
              <w:t>造业</w:t>
            </w:r>
            <w:r>
              <w:rPr>
                <w:rFonts w:hint="eastAsia"/>
                <w:color w:val="auto"/>
                <w:highlight w:val="none"/>
                <w:lang w:val="en-US" w:eastAsia="zh-CN"/>
              </w:rPr>
              <w:t xml:space="preserve"> </w:t>
            </w:r>
            <w:r>
              <w:rPr>
                <w:rFonts w:hint="eastAsia"/>
                <w:color w:val="auto"/>
                <w:highlight w:val="none"/>
              </w:rPr>
              <w:t>3</w:t>
            </w:r>
            <w:r>
              <w:rPr>
                <w:rFonts w:hint="eastAsia"/>
                <w:color w:val="auto"/>
                <w:highlight w:val="none"/>
                <w:lang w:val="en-US" w:eastAsia="zh-CN"/>
              </w:rPr>
              <w:t>9</w:t>
            </w:r>
            <w:r>
              <w:rPr>
                <w:rFonts w:hint="eastAsia"/>
                <w:color w:val="auto"/>
                <w:highlight w:val="none"/>
              </w:rPr>
              <w:t>”之下的“</w:t>
            </w:r>
            <w:r>
              <w:rPr>
                <w:rFonts w:hint="eastAsia"/>
                <w:color w:val="auto"/>
                <w:highlight w:val="none"/>
                <w:lang w:val="en-US" w:eastAsia="zh-CN"/>
              </w:rPr>
              <w:t>智能消费设备制造396</w:t>
            </w:r>
            <w:r>
              <w:rPr>
                <w:rFonts w:hint="eastAsia"/>
                <w:color w:val="auto"/>
                <w:highlight w:val="none"/>
                <w:lang w:eastAsia="zh-CN"/>
              </w:rPr>
              <w:t>”</w:t>
            </w:r>
            <w:r>
              <w:rPr>
                <w:rFonts w:hint="eastAsia"/>
                <w:color w:val="auto"/>
                <w:highlight w:val="none"/>
                <w:lang w:val="en-US" w:eastAsia="zh-CN"/>
              </w:rPr>
              <w:t>中登记管理的“其他”</w:t>
            </w:r>
            <w:r>
              <w:rPr>
                <w:rFonts w:hint="eastAsia"/>
                <w:color w:val="auto"/>
                <w:highlight w:val="none"/>
                <w:lang w:eastAsia="zh-CN"/>
              </w:rPr>
              <w:t>，</w:t>
            </w:r>
            <w:r>
              <w:rPr>
                <w:rFonts w:hint="eastAsia"/>
                <w:color w:val="auto"/>
                <w:highlight w:val="none"/>
                <w:lang w:val="en-US" w:eastAsia="zh-CN"/>
              </w:rPr>
              <w:t>综合判定企业排污许可类型为登记</w:t>
            </w:r>
            <w:r>
              <w:rPr>
                <w:rFonts w:hint="eastAsia"/>
                <w:color w:val="auto"/>
                <w:highlight w:val="none"/>
              </w:rPr>
              <w:t>管理。</w:t>
            </w:r>
          </w:p>
          <w:p w14:paraId="02C44336">
            <w:pPr>
              <w:pStyle w:val="52"/>
              <w:bidi w:val="0"/>
              <w:ind w:left="5518" w:leftChars="0" w:hanging="5518" w:firstLineChars="0"/>
              <w:rPr>
                <w:rFonts w:hint="eastAsia"/>
                <w:color w:val="auto"/>
                <w:lang w:val="en-US" w:eastAsia="zh-CN"/>
              </w:rPr>
            </w:pPr>
            <w:r>
              <w:rPr>
                <w:rFonts w:hint="eastAsia"/>
                <w:color w:val="auto"/>
                <w:lang w:val="en-US" w:eastAsia="zh-CN"/>
              </w:rPr>
              <w:t>排污许可类别判定表</w:t>
            </w:r>
          </w:p>
          <w:tbl>
            <w:tblPr>
              <w:tblStyle w:val="33"/>
              <w:tblW w:w="492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454"/>
              <w:gridCol w:w="3575"/>
              <w:gridCol w:w="1865"/>
              <w:gridCol w:w="1914"/>
              <w:gridCol w:w="530"/>
            </w:tblGrid>
            <w:tr w14:paraId="757E5B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55" w:hRule="atLeast"/>
                <w:jc w:val="center"/>
              </w:trPr>
              <w:tc>
                <w:tcPr>
                  <w:tcW w:w="2416" w:type="pct"/>
                  <w:gridSpan w:val="2"/>
                  <w:shd w:val="clear" w:color="auto" w:fill="auto"/>
                  <w:noWrap/>
                  <w:tcMar>
                    <w:top w:w="15" w:type="dxa"/>
                    <w:left w:w="15" w:type="dxa"/>
                    <w:right w:w="15" w:type="dxa"/>
                  </w:tcMar>
                  <w:vAlign w:val="center"/>
                </w:tcPr>
                <w:p w14:paraId="7B9072E3">
                  <w:pPr>
                    <w:pStyle w:val="48"/>
                    <w:bidi w:val="0"/>
                    <w:rPr>
                      <w:color w:val="auto"/>
                      <w:highlight w:val="none"/>
                    </w:rPr>
                  </w:pPr>
                  <w:r>
                    <w:rPr>
                      <w:color w:val="auto"/>
                    </w:rPr>
                    <mc:AlternateContent>
                      <mc:Choice Requires="wps">
                        <w:drawing>
                          <wp:anchor distT="0" distB="0" distL="114300" distR="114300" simplePos="0" relativeHeight="251664384" behindDoc="0" locked="0" layoutInCell="1" allowOverlap="1">
                            <wp:simplePos x="0" y="0"/>
                            <wp:positionH relativeFrom="column">
                              <wp:posOffset>1462405</wp:posOffset>
                            </wp:positionH>
                            <wp:positionV relativeFrom="paragraph">
                              <wp:posOffset>17145</wp:posOffset>
                            </wp:positionV>
                            <wp:extent cx="1442720" cy="333375"/>
                            <wp:effectExtent l="0" t="0" r="0" b="0"/>
                            <wp:wrapNone/>
                            <wp:docPr id="20" name="文本框 20"/>
                            <wp:cNvGraphicFramePr/>
                            <a:graphic xmlns:a="http://schemas.openxmlformats.org/drawingml/2006/main">
                              <a:graphicData uri="http://schemas.microsoft.com/office/word/2010/wordprocessingShape">
                                <wps:wsp>
                                  <wps:cNvSpPr txBox="1"/>
                                  <wps:spPr>
                                    <a:xfrm>
                                      <a:off x="1522730" y="3675380"/>
                                      <a:ext cx="1442720" cy="333375"/>
                                    </a:xfrm>
                                    <a:prstGeom prst="rect">
                                      <a:avLst/>
                                    </a:prstGeom>
                                    <a:noFill/>
                                    <a:ln w="6350">
                                      <a:noFill/>
                                    </a:ln>
                                    <a:effectLst/>
                                  </wps:spPr>
                                  <wps:txbx>
                                    <w:txbxContent>
                                      <w:p w14:paraId="1E4D91CF">
                                        <w:pPr>
                                          <w:pStyle w:val="48"/>
                                          <w:bidi w:val="0"/>
                                          <w:jc w:val="both"/>
                                          <w:rPr>
                                            <w:b/>
                                            <w:bCs/>
                                          </w:rPr>
                                        </w:pPr>
                                        <w:r>
                                          <w:rPr>
                                            <w:rFonts w:hint="eastAsia"/>
                                            <w:b/>
                                            <w:bCs/>
                                            <w:lang w:val="en-US" w:eastAsia="zh-CN"/>
                                          </w:rPr>
                                          <w:t>排污许可</w:t>
                                        </w:r>
                                        <w:r>
                                          <w:rPr>
                                            <w:rFonts w:hint="eastAsia"/>
                                            <w:b/>
                                            <w:bCs/>
                                          </w:rPr>
                                          <w:t>类别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15pt;margin-top:1.35pt;height:26.25pt;width:113.6pt;z-index:251664384;mso-width-relative:page;mso-height-relative:page;" filled="f" stroked="f" coordsize="21600,21600" o:gfxdata="UEsDBAoAAAAAAIdO4kAAAAAAAAAAAAAAAAAEAAAAZHJzL1BLAwQUAAAACACHTuJAT9Ynv9oAAAAI&#10;AQAADwAAAGRycy9kb3ducmV2LnhtbE2PS0/DMBCE70j8B2uRuFG7KaZVGqdCkSokBIeWXrhtYjeJ&#10;6keI3Qf8epZTuc1qRjPfFquLs+xkxtgHr2A6EcCMb4Lufatg97F+WACLCb1GG7xR8G0irMrbmwJz&#10;Hc5+Y07b1DIq8TFHBV1KQ855bDrjME7CYDx5+zA6THSOLdcjnqncWZ4J8cQd9p4WOhxM1ZnmsD06&#10;Ba/V+h03deYWP7Z6eds/D1+7T6nU/d1ULIElc0nXMPzhEzqUxFSHo9eRWQXZTMwoSmIOjPxHOZfA&#10;agVSZsDLgv9/oPwFUEsDBBQAAAAIAIdO4kDqQe10SQIAAIIEAAAOAAAAZHJzL2Uyb0RvYy54bWyt&#10;VM2O0zAQviPxDpbvNP3vUjVdla2KkCp2pYI4u47TRLI9xnablAeAN9gTF+48V5+DsZN2q4XDHsjB&#10;GXsm3/j7Ziaz21pJchDWlaBT2ut0KRGaQ1bqXUo/f1q9uaHEeaYzJkGLlB6Fo7fz169mlZmKPhQg&#10;M2EJgmg3rUxKC+/NNEkcL4RirgNGaHTmYBXzuLW7JLOsQnQlk363O04qsJmxwIVzeLpsnLRFtC8B&#10;hDwvuVgC3yuhfYNqhWQeKbmiNI7O423zXHB/n+dOeCJTikx9XDEJ2tuwJvMZm+4sM0XJ2yuwl1zh&#10;GSfFSo1JL1BL5hnZ2/IvKFVyCw5y3+GgkoZIVARZ9LrPtNkUzIjIBaV25iK6+3+w/OPhwZIyS2kf&#10;JdFMYcVPjz9OP3+ffn0neIYCVcZNMW5jMNLX76DGtjmfOzwMvOvcqvBGRiT4R/3+ZICIx5QOxpPR&#10;4KaVWtSe8BAwHPYnISUPEfhMRgEyeUIy1vn3AhQJRkotljIqzA5r55vQc0hIrGFVShnLKTWpUjoe&#10;jLrxg4sHwaUOsSI2RgsT2DUsguXrbd1S3kJ2RMYWmqZxhq9KvMqaOf/ALHYJ3h7nyN/jkkvAlNBa&#10;lBRgv/3rPMRj8dBLSYVdl1L3dc+soER+0FjWt6gLwvq4GY6iQvbas7326L26A2zsHk6s4dHEj62X&#10;ZzO3oL7guC1CVnQxzTF3Sv3ZvPPNLOC4crFYxCBsTMP8Wm8MD9CNuIu9h7yMugeZGm2wXmGDrRkr&#10;145R6P3rfYx6+nX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P1ie/2gAAAAgBAAAPAAAAAAAA&#10;AAEAIAAAACIAAABkcnMvZG93bnJldi54bWxQSwECFAAUAAAACACHTuJA6kHtdEkCAACCBAAADgAA&#10;AAAAAAABACAAAAApAQAAZHJzL2Uyb0RvYy54bWxQSwUGAAAAAAYABgBZAQAA5AUAAAAA&#10;">
                            <v:fill on="f" focussize="0,0"/>
                            <v:stroke on="f" weight="0.5pt"/>
                            <v:imagedata o:title=""/>
                            <o:lock v:ext="edit" aspectratio="f"/>
                            <v:textbox>
                              <w:txbxContent>
                                <w:p w14:paraId="1E4D91CF">
                                  <w:pPr>
                                    <w:pStyle w:val="48"/>
                                    <w:bidi w:val="0"/>
                                    <w:jc w:val="both"/>
                                    <w:rPr>
                                      <w:b/>
                                      <w:bCs/>
                                    </w:rPr>
                                  </w:pPr>
                                  <w:r>
                                    <w:rPr>
                                      <w:rFonts w:hint="eastAsia"/>
                                      <w:b/>
                                      <w:bCs/>
                                      <w:lang w:val="en-US" w:eastAsia="zh-CN"/>
                                    </w:rPr>
                                    <w:t>排污许可</w:t>
                                  </w:r>
                                  <w:r>
                                    <w:rPr>
                                      <w:rFonts w:hint="eastAsia"/>
                                      <w:b/>
                                      <w:bCs/>
                                    </w:rPr>
                                    <w:t>类别</w:t>
                                  </w:r>
                                </w:p>
                              </w:txbxContent>
                            </v:textbox>
                          </v:shape>
                        </w:pict>
                      </mc:Fallback>
                    </mc:AlternateContent>
                  </w: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-13335</wp:posOffset>
                            </wp:positionH>
                            <wp:positionV relativeFrom="paragraph">
                              <wp:posOffset>10795</wp:posOffset>
                            </wp:positionV>
                            <wp:extent cx="2577465" cy="340360"/>
                            <wp:effectExtent l="635" t="4445" r="12700" b="17145"/>
                            <wp:wrapNone/>
                            <wp:docPr id="1" name="直接连接符 35"/>
                            <wp:cNvGraphicFramePr/>
                            <a:graphic xmlns:a="http://schemas.openxmlformats.org/drawingml/2006/main">
                              <a:graphicData uri="http://schemas.microsoft.com/office/word/2010/wordprocessingShape">
                                <wps:wsp>
                                  <wps:cNvCnPr/>
                                  <wps:spPr>
                                    <a:xfrm>
                                      <a:off x="0" y="0"/>
                                      <a:ext cx="2577465" cy="3403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直接连接符 35" o:spid="_x0000_s1026" o:spt="32" type="#_x0000_t32" style="position:absolute;left:0pt;margin-left:-1.05pt;margin-top:0.85pt;height:26.8pt;width:202.95pt;z-index:251666432;mso-width-relative:page;mso-height-relative:page;" filled="f" stroked="t" coordsize="21600,21600" o:gfxdata="UEsDBAoAAAAAAIdO4kAAAAAAAAAAAAAAAAAEAAAAZHJzL1BLAwQUAAAACACHTuJASFi65tcAAAAH&#10;AQAADwAAAGRycy9kb3ducmV2LnhtbE2PzU7DMBCE75V4B2uRuFStnZTwE+JUqBIHjrSVuLrxkgTi&#10;dRQ7TdunZzmV4+yMZr4t1ifXiSMOofWkIVkqEEiVty3VGva7t8UTiBANWdN5Qg1nDLAub2aFya2f&#10;6AOP21gLLqGQGw1NjH0uZagadCYsfY/E3pcfnIksh1rawUxc7jqZKvUgnWmJFxrT46bB6mc7Og0Y&#10;xixRr8+u3r9fpvlnevme+p3Wd7eJegER8RSvYfjDZ3QomengR7JBdBoWacJJvj+CYPterfiTg4Ys&#10;W4EsC/mfv/wFUEsDBBQAAAAIAIdO4kB4sypr/QEAAOwDAAAOAAAAZHJzL2Uyb0RvYy54bWytU0uO&#10;EzEQ3SNxB8t70vlMMtBKZxYJwwbBSMABKm53tyX/5PKkk0twASR2sGLJfm7DcAzK7pCBYZMFvXCX&#10;XVWv6j2Xl1d7o9lOBlTOVnwyGnMmrXC1sm3FP7y/fvacM4xga9DOyoofJPKr1dMny96Xcuo6p2sZ&#10;GIFYLHtf8S5GXxYFik4awJHz0pKzccFApG1oizpAT+hGF9PxeFH0LtQ+OCER6XQzOPkRMZwD6JpG&#10;Cblx4tZIGwfUIDVEooSd8shXudumkSK+bRqUkemKE9OYVypC9jatxWoJZRvAd0ocW4BzWnjEyYCy&#10;VPQEtYEI7Daof6CMEsGha+JIOFMMRLIixGIyfqTNuw68zFxIavQn0fH/wYo3u5vAVE2TwJkFQxd+&#10;/+n7j49fft59pvX+21c2myeVeo8lBa/tTTju0N+ERHnfBJP+RIbts7KHk7JyH5mgw+n88vJiMedM&#10;kG92MZ4tsvTFQ7YPGF9JZ1gyKo4xgGq7uHbW0iW6MMnywu41RqpPib8TUmltWV/xF/NpqgA0lA0N&#10;A5nGEzG0bc5Fp1V9rbROGRja7VoHtoM0GPlLLAn3r7BUZAPYDXHZNYxMJ6F+aWsWD54ks/RSeGrB&#10;yJozLelhJYsAoYyg9DmRVFpb6iAJPUibrK2rD1nxfE5DkHs8Dmyasj/3Ofvhka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hYuubXAAAABwEAAA8AAAAAAAAAAQAgAAAAIgAAAGRycy9kb3ducmV2&#10;LnhtbFBLAQIUABQAAAAIAIdO4kB4sypr/QEAAOwDAAAOAAAAAAAAAAEAIAAAACYBAABkcnMvZTJv&#10;RG9jLnhtbFBLBQYAAAAABgAGAFkBAACVBQAAAAA=&#10;">
                            <v:fill on="f" focussize="0,0"/>
                            <v:stroke color="#000000" joinstyle="round"/>
                            <v:imagedata o:title=""/>
                            <o:lock v:ext="edit" aspectratio="f"/>
                          </v:shape>
                        </w:pict>
                      </mc:Fallback>
                    </mc:AlternateContent>
                  </w: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-27940</wp:posOffset>
                            </wp:positionH>
                            <wp:positionV relativeFrom="paragraph">
                              <wp:posOffset>124460</wp:posOffset>
                            </wp:positionV>
                            <wp:extent cx="838200" cy="333375"/>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838200" cy="333375"/>
                                    </a:xfrm>
                                    <a:prstGeom prst="rect">
                                      <a:avLst/>
                                    </a:prstGeom>
                                    <a:noFill/>
                                    <a:ln w="6350">
                                      <a:noFill/>
                                    </a:ln>
                                    <a:effectLst/>
                                  </wps:spPr>
                                  <wps:txbx>
                                    <w:txbxContent>
                                      <w:p w14:paraId="153BF266">
                                        <w:pPr>
                                          <w:pStyle w:val="48"/>
                                          <w:bidi w:val="0"/>
                                          <w:rPr>
                                            <w:b/>
                                            <w:bCs/>
                                          </w:rPr>
                                        </w:pPr>
                                        <w:r>
                                          <w:rPr>
                                            <w:rFonts w:hint="eastAsia"/>
                                            <w:b/>
                                            <w:bCs/>
                                          </w:rPr>
                                          <w:t>项目类别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9.8pt;height:26.25pt;width:66pt;z-index:251665408;mso-width-relative:page;mso-height-relative:page;" filled="f" stroked="f" coordsize="21600,21600" o:gfxdata="UEsDBAoAAAAAAIdO4kAAAAAAAAAAAAAAAAAEAAAAZHJzL1BLAwQUAAAACACHTuJAiUZJV9oAAAAI&#10;AQAADwAAAGRycy9kb3ducmV2LnhtbE2PzU7DMBCE70i8g7VI3FonUWlLiFOhSBUSgkNLL9w28TaJ&#10;sNchdn/g6XFP5ba7M5r9plidrRFHGn3vWEE6TUAQN0733CrYfawnSxA+IGs0jknBD3lYlbc3Beba&#10;nXhDx21oRQxhn6OCLoQhl9I3HVn0UzcQR23vRoshrmMr9YinGG6NzJJkLi32HD90OFDVUfO1PVgF&#10;r9X6HTd1Zpe/pnp52z8P37vPB6Xu79LkCUSgc7ia4YIf0aGMTLU7sPbCKJjMZtEZ749zEBc9W8Sh&#10;VrDIUpBlIf8XKP8AUEsDBBQAAAAIAIdO4kARriWTQgIAAHUEAAAOAAAAZHJzL2Uyb0RvYy54bWyt&#10;VEtu2zAQ3RfoHQjuG9nOt0bkwE2QokDQBEiLrmmKsgSQHJakI6UHaG+QVTfd91w5Rx8p2zHSLrKo&#10;F/JwZvRm5s2jTs96o9md8qElW/Lx3ogzZSVVrV2W/POnyzcnnIUobCU0WVXyexX42ez1q9POTdWE&#10;GtKV8gwgNkw7V/ImRjctiiAbZUTYI6csgjV5IyKOfllUXnRAN7qYjEZHRUe+cp6kCgHeiyHI14j+&#10;JYBU161UFyRXRtk4oHqlRcRIoWld4LPcbV0rGa/rOqjIdMkxacxPFIG9SM9idiqmSy9c08p1C+Il&#10;LTybyYjWougW6kJEwVa+/QvKtNJToDruSTLFMEhmBFOMR8+4uW2EU3kWUB3clvTw/2Dlx7sbz9qq&#10;5JMJZ1YYbPzx4cfjz9+Pv74z+EBQ58IUebcOmbF/Rz1ks/EHONPcfe1N+sdEDHHQe7+lV/WRSThP&#10;9k8gAM4kQvv4HR8mlOLpZedDfK/IsGSU3GN7mVRxdxXikLpJSbUsXbZa5w1qy7qSH+0fjvIL2wjA&#10;tU25KmthDZMGGhpPVuwX/XrKBVX3GNLToJPg5GWLVq5EiDfCQxjoHlcnXuNRa0JJWlucNeS//cuf&#10;8rEvRDnrILSSh68r4RVn+oPFJt+ODw4AG/Ph4PB4goPfjSx2I3ZlzglaHuOSOpnNlB/1xqw9mS+4&#10;YfNUFSFhJWqXPG7M8zjIHzdUqvk8J0GLTsQre+tkgh7Ina8i1W3mPdE0cIN9pQPUmDe3vjlJ7rvn&#10;nPX0tZj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lGSVfaAAAACAEAAA8AAAAAAAAAAQAgAAAA&#10;IgAAAGRycy9kb3ducmV2LnhtbFBLAQIUABQAAAAIAIdO4kARriWTQgIAAHUEAAAOAAAAAAAAAAEA&#10;IAAAACkBAABkcnMvZTJvRG9jLnhtbFBLBQYAAAAABgAGAFkBAADdBQAAAAA=&#10;">
                            <v:fill on="f" focussize="0,0"/>
                            <v:stroke on="f" weight="0.5pt"/>
                            <v:imagedata o:title=""/>
                            <o:lock v:ext="edit" aspectratio="f"/>
                            <v:textbox>
                              <w:txbxContent>
                                <w:p w14:paraId="153BF266">
                                  <w:pPr>
                                    <w:pStyle w:val="48"/>
                                    <w:bidi w:val="0"/>
                                    <w:rPr>
                                      <w:b/>
                                      <w:bCs/>
                                    </w:rPr>
                                  </w:pPr>
                                  <w:r>
                                    <w:rPr>
                                      <w:rFonts w:hint="eastAsia"/>
                                      <w:b/>
                                      <w:bCs/>
                                    </w:rPr>
                                    <w:t>项目类别</w:t>
                                  </w:r>
                                </w:p>
                              </w:txbxContent>
                            </v:textbox>
                          </v:shape>
                        </w:pict>
                      </mc:Fallback>
                    </mc:AlternateContent>
                  </w:r>
                </w:p>
              </w:tc>
              <w:tc>
                <w:tcPr>
                  <w:tcW w:w="1118" w:type="pct"/>
                  <w:shd w:val="clear" w:color="auto" w:fill="auto"/>
                  <w:noWrap/>
                  <w:tcMar>
                    <w:top w:w="15" w:type="dxa"/>
                    <w:left w:w="15" w:type="dxa"/>
                    <w:right w:w="15" w:type="dxa"/>
                  </w:tcMar>
                  <w:vAlign w:val="center"/>
                </w:tcPr>
                <w:p w14:paraId="1157DCF1">
                  <w:pPr>
                    <w:pStyle w:val="48"/>
                    <w:bidi w:val="0"/>
                    <w:rPr>
                      <w:rFonts w:hint="eastAsia"/>
                      <w:b/>
                      <w:bCs/>
                      <w:color w:val="auto"/>
                      <w:highlight w:val="none"/>
                      <w:lang w:eastAsia="zh-CN"/>
                    </w:rPr>
                  </w:pPr>
                  <w:r>
                    <w:rPr>
                      <w:rFonts w:hint="eastAsia"/>
                      <w:b/>
                      <w:bCs/>
                      <w:color w:val="auto"/>
                      <w:highlight w:val="none"/>
                      <w:lang w:val="en-US" w:eastAsia="zh-CN"/>
                    </w:rPr>
                    <w:t>重点管理</w:t>
                  </w:r>
                </w:p>
              </w:tc>
              <w:tc>
                <w:tcPr>
                  <w:tcW w:w="1147" w:type="pct"/>
                  <w:shd w:val="clear" w:color="auto" w:fill="auto"/>
                  <w:noWrap/>
                  <w:tcMar>
                    <w:top w:w="15" w:type="dxa"/>
                    <w:left w:w="15" w:type="dxa"/>
                    <w:right w:w="15" w:type="dxa"/>
                  </w:tcMar>
                  <w:vAlign w:val="center"/>
                </w:tcPr>
                <w:p w14:paraId="3FA1B401">
                  <w:pPr>
                    <w:pStyle w:val="48"/>
                    <w:bidi w:val="0"/>
                    <w:rPr>
                      <w:rFonts w:hint="default"/>
                      <w:b/>
                      <w:bCs/>
                      <w:color w:val="auto"/>
                      <w:highlight w:val="none"/>
                      <w:lang w:val="en-US" w:eastAsia="zh-CN"/>
                    </w:rPr>
                  </w:pPr>
                  <w:r>
                    <w:rPr>
                      <w:rFonts w:hint="eastAsia"/>
                      <w:b/>
                      <w:bCs/>
                      <w:color w:val="auto"/>
                      <w:highlight w:val="none"/>
                      <w:lang w:val="en-US" w:eastAsia="zh-CN"/>
                    </w:rPr>
                    <w:t>简化管理</w:t>
                  </w:r>
                </w:p>
              </w:tc>
              <w:tc>
                <w:tcPr>
                  <w:tcW w:w="317" w:type="pct"/>
                  <w:shd w:val="clear" w:color="auto" w:fill="auto"/>
                  <w:noWrap/>
                  <w:tcMar>
                    <w:top w:w="15" w:type="dxa"/>
                    <w:left w:w="15" w:type="dxa"/>
                    <w:right w:w="15" w:type="dxa"/>
                  </w:tcMar>
                  <w:vAlign w:val="center"/>
                </w:tcPr>
                <w:p w14:paraId="380F954F">
                  <w:pPr>
                    <w:pStyle w:val="48"/>
                    <w:bidi w:val="0"/>
                    <w:rPr>
                      <w:rFonts w:hint="eastAsia"/>
                      <w:b/>
                      <w:bCs/>
                      <w:color w:val="auto"/>
                      <w:highlight w:val="none"/>
                      <w:lang w:eastAsia="zh-CN"/>
                    </w:rPr>
                  </w:pPr>
                  <w:r>
                    <w:rPr>
                      <w:b/>
                      <w:bCs/>
                      <w:color w:val="auto"/>
                      <w:highlight w:val="none"/>
                    </w:rPr>
                    <w:t>登记</w:t>
                  </w:r>
                  <w:r>
                    <w:rPr>
                      <w:rFonts w:hint="eastAsia"/>
                      <w:b/>
                      <w:bCs/>
                      <w:color w:val="auto"/>
                      <w:highlight w:val="none"/>
                      <w:lang w:val="en-US" w:eastAsia="zh-CN"/>
                    </w:rPr>
                    <w:t>管理</w:t>
                  </w:r>
                </w:p>
              </w:tc>
            </w:tr>
            <w:tr w14:paraId="7E2F0B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5000" w:type="pct"/>
                  <w:gridSpan w:val="5"/>
                  <w:shd w:val="clear" w:color="auto" w:fill="auto"/>
                  <w:noWrap/>
                  <w:tcMar>
                    <w:top w:w="15" w:type="dxa"/>
                    <w:left w:w="15" w:type="dxa"/>
                    <w:right w:w="15" w:type="dxa"/>
                  </w:tcMar>
                  <w:vAlign w:val="center"/>
                </w:tcPr>
                <w:p w14:paraId="0B7B9544">
                  <w:pPr>
                    <w:pStyle w:val="48"/>
                    <w:tabs>
                      <w:tab w:val="left" w:pos="0"/>
                    </w:tabs>
                    <w:bidi w:val="0"/>
                    <w:jc w:val="left"/>
                    <w:rPr>
                      <w:rFonts w:hint="eastAsia"/>
                      <w:color w:val="auto"/>
                      <w:highlight w:val="none"/>
                      <w:lang w:val="en-US" w:eastAsia="zh-CN"/>
                    </w:rPr>
                  </w:pPr>
                  <w:r>
                    <w:rPr>
                      <w:rFonts w:hint="eastAsia"/>
                      <w:color w:val="auto"/>
                      <w:highlight w:val="none"/>
                    </w:rPr>
                    <w:t>三十</w:t>
                  </w:r>
                  <w:r>
                    <w:rPr>
                      <w:rFonts w:hint="eastAsia"/>
                      <w:color w:val="auto"/>
                      <w:highlight w:val="none"/>
                      <w:lang w:val="en-US" w:eastAsia="zh-CN"/>
                    </w:rPr>
                    <w:t>四</w:t>
                  </w:r>
                  <w:r>
                    <w:rPr>
                      <w:rFonts w:hint="eastAsia"/>
                      <w:color w:val="auto"/>
                      <w:highlight w:val="none"/>
                    </w:rPr>
                    <w:t>、</w:t>
                  </w:r>
                  <w:r>
                    <w:rPr>
                      <w:rFonts w:hint="eastAsia"/>
                      <w:color w:val="auto"/>
                      <w:highlight w:val="none"/>
                      <w:lang w:val="en-US" w:eastAsia="zh-CN"/>
                    </w:rPr>
                    <w:t>计算机、通信和其他电子设备制</w:t>
                  </w:r>
                  <w:r>
                    <w:rPr>
                      <w:rFonts w:hint="eastAsia"/>
                      <w:color w:val="auto"/>
                      <w:highlight w:val="none"/>
                    </w:rPr>
                    <w:t>造业</w:t>
                  </w:r>
                  <w:r>
                    <w:rPr>
                      <w:rFonts w:hint="eastAsia"/>
                      <w:color w:val="auto"/>
                      <w:highlight w:val="none"/>
                      <w:lang w:val="en-US" w:eastAsia="zh-CN"/>
                    </w:rPr>
                    <w:t xml:space="preserve"> </w:t>
                  </w:r>
                  <w:r>
                    <w:rPr>
                      <w:rFonts w:hint="eastAsia"/>
                      <w:color w:val="auto"/>
                      <w:highlight w:val="none"/>
                    </w:rPr>
                    <w:t>3</w:t>
                  </w:r>
                  <w:r>
                    <w:rPr>
                      <w:rFonts w:hint="eastAsia"/>
                      <w:color w:val="auto"/>
                      <w:highlight w:val="none"/>
                      <w:lang w:val="en-US" w:eastAsia="zh-CN"/>
                    </w:rPr>
                    <w:t>9</w:t>
                  </w:r>
                </w:p>
              </w:tc>
            </w:tr>
            <w:tr w14:paraId="6A5771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45" w:hRule="atLeast"/>
                <w:jc w:val="center"/>
              </w:trPr>
              <w:tc>
                <w:tcPr>
                  <w:tcW w:w="272" w:type="pct"/>
                  <w:shd w:val="clear" w:color="auto" w:fill="auto"/>
                  <w:noWrap/>
                  <w:tcMar>
                    <w:top w:w="15" w:type="dxa"/>
                    <w:left w:w="15" w:type="dxa"/>
                    <w:right w:w="15" w:type="dxa"/>
                  </w:tcMar>
                  <w:vAlign w:val="center"/>
                </w:tcPr>
                <w:p w14:paraId="39628E6E">
                  <w:pPr>
                    <w:pStyle w:val="48"/>
                    <w:tabs>
                      <w:tab w:val="left" w:pos="0"/>
                    </w:tabs>
                    <w:bidi w:val="0"/>
                    <w:ind w:firstLine="0" w:firstLineChars="0"/>
                    <w:rPr>
                      <w:rFonts w:hint="default"/>
                      <w:color w:val="auto"/>
                      <w:highlight w:val="none"/>
                      <w:lang w:val="en-US" w:eastAsia="zh-CN"/>
                    </w:rPr>
                  </w:pPr>
                  <w:r>
                    <w:rPr>
                      <w:rFonts w:hint="eastAsia"/>
                      <w:color w:val="auto"/>
                      <w:highlight w:val="none"/>
                      <w:lang w:val="en-US" w:eastAsia="zh-CN"/>
                    </w:rPr>
                    <w:t>90</w:t>
                  </w:r>
                </w:p>
              </w:tc>
              <w:tc>
                <w:tcPr>
                  <w:tcW w:w="2143" w:type="pct"/>
                  <w:shd w:val="clear" w:color="auto" w:fill="auto"/>
                  <w:noWrap/>
                  <w:tcMar>
                    <w:top w:w="15" w:type="dxa"/>
                    <w:left w:w="15" w:type="dxa"/>
                    <w:right w:w="15" w:type="dxa"/>
                  </w:tcMar>
                  <w:vAlign w:val="center"/>
                </w:tcPr>
                <w:p w14:paraId="711A9DBC">
                  <w:pPr>
                    <w:pStyle w:val="48"/>
                    <w:tabs>
                      <w:tab w:val="left" w:pos="0"/>
                    </w:tabs>
                    <w:bidi w:val="0"/>
                    <w:ind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通信设备制造392，广播电视设备制 造393，雷达及配套设备制造394，非 专业视听设备制造395，智能消费设 备制造396</w:t>
                  </w:r>
                </w:p>
              </w:tc>
              <w:tc>
                <w:tcPr>
                  <w:tcW w:w="1118" w:type="pct"/>
                  <w:shd w:val="clear" w:color="auto" w:fill="auto"/>
                  <w:tcMar>
                    <w:top w:w="15" w:type="dxa"/>
                    <w:left w:w="15" w:type="dxa"/>
                    <w:right w:w="15" w:type="dxa"/>
                  </w:tcMar>
                  <w:vAlign w:val="center"/>
                </w:tcPr>
                <w:p w14:paraId="412F9B33">
                  <w:pPr>
                    <w:pStyle w:val="48"/>
                    <w:tabs>
                      <w:tab w:val="left" w:pos="0"/>
                    </w:tabs>
                    <w:bidi w:val="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涉及通用工序重点管理的</w:t>
                  </w:r>
                </w:p>
              </w:tc>
              <w:tc>
                <w:tcPr>
                  <w:tcW w:w="1147" w:type="pct"/>
                  <w:shd w:val="clear" w:color="auto" w:fill="auto"/>
                  <w:tcMar>
                    <w:top w:w="15" w:type="dxa"/>
                    <w:left w:w="15" w:type="dxa"/>
                    <w:right w:w="15" w:type="dxa"/>
                  </w:tcMar>
                  <w:vAlign w:val="center"/>
                </w:tcPr>
                <w:p w14:paraId="3002D122">
                  <w:pPr>
                    <w:pStyle w:val="48"/>
                    <w:bidi w:val="0"/>
                    <w:rPr>
                      <w:rFonts w:hint="eastAsia"/>
                      <w:color w:val="auto"/>
                      <w:highlight w:val="none"/>
                      <w:lang w:val="en-US" w:eastAsia="zh-CN"/>
                    </w:rPr>
                  </w:pPr>
                  <w:r>
                    <w:rPr>
                      <w:rFonts w:hint="eastAsia"/>
                      <w:color w:val="auto"/>
                      <w:highlight w:val="none"/>
                      <w:lang w:val="en-US" w:eastAsia="zh-CN"/>
                    </w:rPr>
                    <w:t>涉及通用工序简化管理的</w:t>
                  </w:r>
                </w:p>
              </w:tc>
              <w:tc>
                <w:tcPr>
                  <w:tcW w:w="317" w:type="pct"/>
                  <w:shd w:val="clear" w:color="auto" w:fill="D7D7D7" w:themeFill="background1" w:themeFillShade="D8"/>
                  <w:tcMar>
                    <w:top w:w="15" w:type="dxa"/>
                    <w:left w:w="15" w:type="dxa"/>
                    <w:right w:w="15" w:type="dxa"/>
                  </w:tcMar>
                  <w:vAlign w:val="center"/>
                </w:tcPr>
                <w:p w14:paraId="4522C863">
                  <w:pPr>
                    <w:pStyle w:val="48"/>
                    <w:tabs>
                      <w:tab w:val="left" w:pos="0"/>
                    </w:tabs>
                    <w:bidi w:val="0"/>
                    <w:rPr>
                      <w:rFonts w:hint="eastAsia"/>
                      <w:color w:val="auto"/>
                      <w:highlight w:val="none"/>
                      <w:lang w:val="en-US" w:eastAsia="zh-CN"/>
                    </w:rPr>
                  </w:pPr>
                  <w:r>
                    <w:rPr>
                      <w:rFonts w:hint="eastAsia"/>
                      <w:color w:val="auto"/>
                      <w:highlight w:val="none"/>
                      <w:lang w:val="en-US" w:eastAsia="zh-CN"/>
                    </w:rPr>
                    <w:t>其他</w:t>
                  </w:r>
                </w:p>
              </w:tc>
            </w:tr>
          </w:tbl>
          <w:p w14:paraId="42F7EDFB">
            <w:pPr>
              <w:bidi w:val="0"/>
              <w:rPr>
                <w:b/>
                <w:bCs/>
                <w:color w:val="auto"/>
                <w:highlight w:val="none"/>
                <w:lang w:val="zh-CN"/>
              </w:rPr>
            </w:pPr>
            <w:r>
              <w:rPr>
                <w:rFonts w:hint="eastAsia"/>
                <w:b/>
                <w:bCs/>
                <w:color w:val="auto"/>
                <w:highlight w:val="none"/>
              </w:rPr>
              <w:t>2）</w:t>
            </w:r>
            <w:r>
              <w:rPr>
                <w:b/>
                <w:bCs/>
                <w:color w:val="auto"/>
                <w:highlight w:val="none"/>
                <w:lang w:val="zh-CN"/>
              </w:rPr>
              <w:t>环境管理体系</w:t>
            </w:r>
          </w:p>
          <w:p w14:paraId="53B5EAC7">
            <w:pPr>
              <w:bidi w:val="0"/>
              <w:rPr>
                <w:color w:val="auto"/>
                <w:highlight w:val="none"/>
                <w:lang w:val="zh-CN"/>
              </w:rPr>
            </w:pPr>
            <w:r>
              <w:rPr>
                <w:color w:val="auto"/>
                <w:highlight w:val="none"/>
                <w:lang w:val="zh-CN"/>
              </w:rPr>
              <w:t>项目建成后，建立环境管理体系，以便全面系统</w:t>
            </w:r>
            <w:r>
              <w:rPr>
                <w:rFonts w:hint="eastAsia"/>
                <w:color w:val="auto"/>
                <w:highlight w:val="none"/>
                <w:lang w:val="zh-CN"/>
              </w:rPr>
              <w:t>地</w:t>
            </w:r>
            <w:r>
              <w:rPr>
                <w:color w:val="auto"/>
                <w:highlight w:val="none"/>
                <w:lang w:val="zh-CN"/>
              </w:rPr>
              <w:t>对污染物进行控制，进一步提高能源资源的利用率，及时了解有关环保法律法规及其他要求，更好地遵守法律法规及各项制度。</w:t>
            </w:r>
          </w:p>
          <w:p w14:paraId="54306573">
            <w:pPr>
              <w:bidi w:val="0"/>
              <w:rPr>
                <w:b/>
                <w:bCs/>
                <w:color w:val="auto"/>
                <w:highlight w:val="none"/>
                <w:lang w:val="zh-CN"/>
              </w:rPr>
            </w:pPr>
            <w:r>
              <w:rPr>
                <w:rFonts w:hint="eastAsia"/>
                <w:b/>
                <w:bCs/>
                <w:color w:val="auto"/>
                <w:highlight w:val="none"/>
              </w:rPr>
              <w:t>3）</w:t>
            </w:r>
            <w:r>
              <w:rPr>
                <w:b/>
                <w:bCs/>
                <w:color w:val="auto"/>
                <w:highlight w:val="none"/>
                <w:lang w:val="zh-CN"/>
              </w:rPr>
              <w:t>排污定期报告制度</w:t>
            </w:r>
          </w:p>
          <w:p w14:paraId="7C076377">
            <w:pPr>
              <w:bidi w:val="0"/>
              <w:rPr>
                <w:color w:val="auto"/>
                <w:highlight w:val="none"/>
                <w:lang w:val="zh-CN"/>
              </w:rPr>
            </w:pPr>
            <w:r>
              <w:rPr>
                <w:color w:val="auto"/>
                <w:highlight w:val="none"/>
                <w:lang w:val="zh-CN"/>
              </w:rPr>
              <w:t>要定期向当地</w:t>
            </w:r>
            <w:r>
              <w:rPr>
                <w:rFonts w:hint="eastAsia"/>
                <w:color w:val="auto"/>
                <w:highlight w:val="none"/>
                <w:lang w:val="zh-CN"/>
              </w:rPr>
              <w:t>生态环境主管部门</w:t>
            </w:r>
            <w:r>
              <w:rPr>
                <w:color w:val="auto"/>
                <w:highlight w:val="none"/>
                <w:lang w:val="zh-CN"/>
              </w:rPr>
              <w:t>报告污染治理设施运行情况、污染物排放情况以及污染事故、污染纠纷等情况。</w:t>
            </w:r>
          </w:p>
          <w:p w14:paraId="5D4AC40D">
            <w:pPr>
              <w:bidi w:val="0"/>
              <w:rPr>
                <w:b/>
                <w:bCs/>
                <w:color w:val="auto"/>
                <w:highlight w:val="none"/>
                <w:lang w:val="zh-CN"/>
              </w:rPr>
            </w:pPr>
            <w:r>
              <w:rPr>
                <w:rFonts w:hint="eastAsia"/>
                <w:b/>
                <w:bCs/>
                <w:color w:val="auto"/>
                <w:highlight w:val="none"/>
              </w:rPr>
              <w:t>4）</w:t>
            </w:r>
            <w:r>
              <w:rPr>
                <w:rFonts w:hint="eastAsia"/>
                <w:b/>
                <w:bCs/>
                <w:color w:val="auto"/>
                <w:highlight w:val="none"/>
                <w:lang w:eastAsia="zh-CN"/>
              </w:rPr>
              <w:t>污染治理设施</w:t>
            </w:r>
            <w:r>
              <w:rPr>
                <w:b/>
                <w:bCs/>
                <w:color w:val="auto"/>
                <w:highlight w:val="none"/>
                <w:lang w:val="zh-CN"/>
              </w:rPr>
              <w:t>管理制度</w:t>
            </w:r>
          </w:p>
          <w:p w14:paraId="4EEBD946">
            <w:pPr>
              <w:bidi w:val="0"/>
              <w:rPr>
                <w:color w:val="auto"/>
                <w:highlight w:val="none"/>
                <w:lang w:val="zh-CN"/>
              </w:rPr>
            </w:pPr>
            <w:r>
              <w:rPr>
                <w:color w:val="auto"/>
                <w:highlight w:val="none"/>
                <w:lang w:val="zh-CN"/>
              </w:rPr>
              <w:t>对污染治理设施的管理必须与生产经营活动一起纳入企业的日常管理中，要建立岗位责任制，制定操作规程，建立</w:t>
            </w:r>
            <w:r>
              <w:rPr>
                <w:rFonts w:hint="eastAsia"/>
                <w:color w:val="auto"/>
                <w:highlight w:val="none"/>
                <w:lang w:val="zh-CN"/>
              </w:rPr>
              <w:t>管理台账</w:t>
            </w:r>
            <w:r>
              <w:rPr>
                <w:color w:val="auto"/>
                <w:highlight w:val="none"/>
                <w:lang w:val="zh-CN"/>
              </w:rPr>
              <w:t>。</w:t>
            </w:r>
          </w:p>
          <w:p w14:paraId="7A3D020B">
            <w:pPr>
              <w:bidi w:val="0"/>
              <w:rPr>
                <w:rFonts w:hint="eastAsia"/>
                <w:b/>
                <w:bCs/>
                <w:color w:val="auto"/>
                <w:highlight w:val="none"/>
                <w:lang w:val="zh-CN"/>
              </w:rPr>
            </w:pPr>
            <w:r>
              <w:rPr>
                <w:rFonts w:hint="eastAsia"/>
                <w:b/>
                <w:bCs/>
                <w:color w:val="auto"/>
                <w:highlight w:val="none"/>
                <w:lang w:val="en-US" w:eastAsia="zh-CN"/>
              </w:rPr>
              <w:t>5</w:t>
            </w:r>
            <w:r>
              <w:rPr>
                <w:rFonts w:hint="eastAsia"/>
                <w:b/>
                <w:bCs/>
                <w:color w:val="auto"/>
                <w:highlight w:val="none"/>
                <w:lang w:val="zh-CN"/>
              </w:rPr>
              <w:t>）社会公开制度</w:t>
            </w:r>
          </w:p>
          <w:p w14:paraId="05B4B3A8">
            <w:pPr>
              <w:ind w:firstLine="480"/>
              <w:rPr>
                <w:rFonts w:hint="eastAsia"/>
                <w:color w:val="auto"/>
                <w:highlight w:val="none"/>
                <w:lang w:val="zh-CN"/>
              </w:rPr>
            </w:pPr>
            <w:bookmarkStart w:id="202" w:name="sys25680117"/>
            <w:r>
              <w:rPr>
                <w:rFonts w:hint="eastAsia"/>
                <w:color w:val="auto"/>
                <w:highlight w:val="none"/>
                <w:lang w:val="zh-CN"/>
              </w:rPr>
              <w:t>向社会公开拟建项目污染物排放清单，明确污染物排放的管理要求。包括工程组成及原辅材料组分要求，建设项目拟采取的环境保护措施及主要运行参数，排放的污染物种类、排放浓度和总量指标，排污口信息，执行的环境标准，环境风险防范措施以及环境监测等。</w:t>
            </w:r>
            <w:bookmarkEnd w:id="202"/>
          </w:p>
          <w:p w14:paraId="6E3143DF">
            <w:pPr>
              <w:ind w:firstLine="482"/>
              <w:rPr>
                <w:b/>
                <w:bCs/>
                <w:color w:val="auto"/>
                <w:highlight w:val="none"/>
              </w:rPr>
            </w:pPr>
            <w:r>
              <w:rPr>
                <w:rFonts w:hint="eastAsia"/>
                <w:b/>
                <w:bCs/>
                <w:color w:val="auto"/>
                <w:highlight w:val="none"/>
                <w:lang w:val="en-US" w:eastAsia="zh-CN"/>
              </w:rPr>
              <w:t>9.</w:t>
            </w:r>
            <w:r>
              <w:rPr>
                <w:rFonts w:hint="eastAsia"/>
                <w:b/>
                <w:bCs/>
                <w:color w:val="auto"/>
                <w:highlight w:val="none"/>
              </w:rPr>
              <w:t>环境保护“</w:t>
            </w:r>
            <w:r>
              <w:rPr>
                <w:b/>
                <w:bCs/>
                <w:color w:val="auto"/>
                <w:highlight w:val="none"/>
              </w:rPr>
              <w:t>三同时</w:t>
            </w:r>
            <w:r>
              <w:rPr>
                <w:rFonts w:hint="eastAsia"/>
                <w:b/>
                <w:bCs/>
                <w:color w:val="auto"/>
                <w:highlight w:val="none"/>
              </w:rPr>
              <w:t>”</w:t>
            </w:r>
            <w:r>
              <w:rPr>
                <w:b/>
                <w:bCs/>
                <w:color w:val="auto"/>
                <w:highlight w:val="none"/>
              </w:rPr>
              <w:t>验收</w:t>
            </w:r>
          </w:p>
          <w:p w14:paraId="3883883D">
            <w:pPr>
              <w:ind w:firstLine="480"/>
              <w:rPr>
                <w:color w:val="auto"/>
                <w:highlight w:val="none"/>
              </w:rPr>
            </w:pPr>
            <w:r>
              <w:rPr>
                <w:color w:val="auto"/>
                <w:highlight w:val="none"/>
              </w:rPr>
              <w:t>本项目在进行建设时，应严格按照</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的规定，其中防治污染的设施必须与主体工程同时设计、同时施工、同时投产。项目建设运营阶段应确保污染防治设施的运行效果，保证其发挥正常的效益。企业应制定严格的环境保护管理制度并认真落实，确保各环保措施正常运转，污染物达标排放。本项目环境保护</w:t>
            </w:r>
            <w:r>
              <w:rPr>
                <w:rFonts w:hint="eastAsia"/>
                <w:color w:val="auto"/>
                <w:highlight w:val="none"/>
              </w:rPr>
              <w:t>“</w:t>
            </w:r>
            <w:r>
              <w:rPr>
                <w:color w:val="auto"/>
                <w:highlight w:val="none"/>
              </w:rPr>
              <w:t>三同时</w:t>
            </w:r>
            <w:r>
              <w:rPr>
                <w:rFonts w:hint="eastAsia"/>
                <w:color w:val="auto"/>
                <w:highlight w:val="none"/>
              </w:rPr>
              <w:t>”</w:t>
            </w:r>
            <w:r>
              <w:rPr>
                <w:color w:val="auto"/>
                <w:highlight w:val="none"/>
              </w:rPr>
              <w:t>验收情况</w:t>
            </w:r>
            <w:r>
              <w:rPr>
                <w:rFonts w:hint="eastAsia"/>
                <w:color w:val="auto"/>
                <w:highlight w:val="none"/>
                <w:lang w:eastAsia="zh-CN"/>
              </w:rPr>
              <w:t>见下</w:t>
            </w:r>
            <w:r>
              <w:rPr>
                <w:color w:val="auto"/>
                <w:highlight w:val="none"/>
              </w:rPr>
              <w:t>表。</w:t>
            </w:r>
          </w:p>
          <w:p w14:paraId="44134794">
            <w:pPr>
              <w:pStyle w:val="52"/>
              <w:bidi w:val="0"/>
              <w:ind w:left="5518" w:leftChars="0" w:hanging="5518" w:firstLineChars="0"/>
              <w:rPr>
                <w:rFonts w:hint="default"/>
                <w:color w:val="auto"/>
                <w:highlight w:val="none"/>
              </w:rPr>
            </w:pPr>
            <w:r>
              <w:rPr>
                <w:color w:val="auto"/>
                <w:highlight w:val="none"/>
              </w:rPr>
              <w:t>环保投资和</w:t>
            </w:r>
            <w:r>
              <w:rPr>
                <w:rFonts w:hint="default"/>
                <w:color w:val="auto"/>
                <w:highlight w:val="none"/>
              </w:rPr>
              <w:t>三同时验收一览表</w:t>
            </w:r>
          </w:p>
          <w:tbl>
            <w:tblPr>
              <w:tblStyle w:val="33"/>
              <w:tblW w:w="498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0"/>
              <w:gridCol w:w="426"/>
              <w:gridCol w:w="1143"/>
              <w:gridCol w:w="975"/>
              <w:gridCol w:w="2355"/>
              <w:gridCol w:w="1725"/>
              <w:gridCol w:w="705"/>
              <w:gridCol w:w="696"/>
            </w:tblGrid>
            <w:tr w14:paraId="36505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5" w:type="pct"/>
                  <w:gridSpan w:val="2"/>
                  <w:tcBorders>
                    <w:tl2br w:val="nil"/>
                    <w:tr2bl w:val="nil"/>
                  </w:tcBorders>
                  <w:vAlign w:val="center"/>
                </w:tcPr>
                <w:p w14:paraId="6EEDA296">
                  <w:pPr>
                    <w:pStyle w:val="48"/>
                    <w:rPr>
                      <w:b/>
                      <w:bCs/>
                      <w:color w:val="auto"/>
                      <w:highlight w:val="none"/>
                    </w:rPr>
                  </w:pPr>
                  <w:r>
                    <w:rPr>
                      <w:b/>
                      <w:bCs/>
                      <w:color w:val="auto"/>
                      <w:highlight w:val="none"/>
                    </w:rPr>
                    <w:t>类别</w:t>
                  </w:r>
                </w:p>
              </w:tc>
              <w:tc>
                <w:tcPr>
                  <w:tcW w:w="677" w:type="pct"/>
                  <w:tcBorders>
                    <w:tl2br w:val="nil"/>
                    <w:tr2bl w:val="nil"/>
                  </w:tcBorders>
                  <w:vAlign w:val="center"/>
                </w:tcPr>
                <w:p w14:paraId="56EC10EB">
                  <w:pPr>
                    <w:pStyle w:val="48"/>
                    <w:rPr>
                      <w:b/>
                      <w:bCs/>
                      <w:color w:val="auto"/>
                      <w:highlight w:val="none"/>
                    </w:rPr>
                  </w:pPr>
                  <w:r>
                    <w:rPr>
                      <w:b/>
                      <w:bCs/>
                      <w:color w:val="auto"/>
                      <w:highlight w:val="none"/>
                    </w:rPr>
                    <w:t>污染源</w:t>
                  </w:r>
                </w:p>
              </w:tc>
              <w:tc>
                <w:tcPr>
                  <w:tcW w:w="577" w:type="pct"/>
                  <w:tcBorders>
                    <w:tl2br w:val="nil"/>
                    <w:tr2bl w:val="nil"/>
                  </w:tcBorders>
                  <w:vAlign w:val="center"/>
                </w:tcPr>
                <w:p w14:paraId="0CE7B26F">
                  <w:pPr>
                    <w:pStyle w:val="48"/>
                    <w:rPr>
                      <w:b/>
                      <w:bCs/>
                      <w:color w:val="auto"/>
                      <w:highlight w:val="none"/>
                    </w:rPr>
                  </w:pPr>
                  <w:r>
                    <w:rPr>
                      <w:b/>
                      <w:bCs/>
                      <w:color w:val="auto"/>
                      <w:highlight w:val="none"/>
                    </w:rPr>
                    <w:t>污染物</w:t>
                  </w:r>
                </w:p>
              </w:tc>
              <w:tc>
                <w:tcPr>
                  <w:tcW w:w="1395" w:type="pct"/>
                  <w:tcBorders>
                    <w:tl2br w:val="nil"/>
                    <w:tr2bl w:val="nil"/>
                  </w:tcBorders>
                  <w:vAlign w:val="center"/>
                </w:tcPr>
                <w:p w14:paraId="4A10D212">
                  <w:pPr>
                    <w:pStyle w:val="48"/>
                    <w:rPr>
                      <w:b/>
                      <w:bCs/>
                      <w:color w:val="auto"/>
                      <w:highlight w:val="none"/>
                    </w:rPr>
                  </w:pPr>
                  <w:r>
                    <w:rPr>
                      <w:b/>
                      <w:bCs/>
                      <w:color w:val="auto"/>
                      <w:highlight w:val="none"/>
                    </w:rPr>
                    <w:t>治理措施（建设数量、规模、处理能力等）</w:t>
                  </w:r>
                </w:p>
              </w:tc>
              <w:tc>
                <w:tcPr>
                  <w:tcW w:w="1022" w:type="pct"/>
                  <w:tcBorders>
                    <w:tl2br w:val="nil"/>
                    <w:tr2bl w:val="nil"/>
                  </w:tcBorders>
                  <w:vAlign w:val="center"/>
                </w:tcPr>
                <w:p w14:paraId="4FBD80E3">
                  <w:pPr>
                    <w:pStyle w:val="48"/>
                    <w:rPr>
                      <w:b/>
                      <w:bCs/>
                      <w:color w:val="auto"/>
                      <w:highlight w:val="none"/>
                    </w:rPr>
                  </w:pPr>
                  <w:r>
                    <w:rPr>
                      <w:b/>
                      <w:bCs/>
                      <w:color w:val="auto"/>
                      <w:highlight w:val="none"/>
                    </w:rPr>
                    <w:t>处理效果、执行标准或拟达要求</w:t>
                  </w:r>
                </w:p>
              </w:tc>
              <w:tc>
                <w:tcPr>
                  <w:tcW w:w="417" w:type="pct"/>
                  <w:tcBorders>
                    <w:tl2br w:val="nil"/>
                    <w:tr2bl w:val="nil"/>
                  </w:tcBorders>
                  <w:vAlign w:val="center"/>
                </w:tcPr>
                <w:p w14:paraId="147C4687">
                  <w:pPr>
                    <w:pStyle w:val="48"/>
                    <w:rPr>
                      <w:b/>
                      <w:bCs/>
                      <w:color w:val="auto"/>
                      <w:highlight w:val="none"/>
                    </w:rPr>
                  </w:pPr>
                  <w:r>
                    <w:rPr>
                      <w:b/>
                      <w:bCs/>
                      <w:color w:val="auto"/>
                      <w:highlight w:val="none"/>
                    </w:rPr>
                    <w:t>投资</w:t>
                  </w:r>
                </w:p>
                <w:p w14:paraId="61357364">
                  <w:pPr>
                    <w:pStyle w:val="48"/>
                    <w:rPr>
                      <w:b/>
                      <w:bCs/>
                      <w:color w:val="auto"/>
                      <w:highlight w:val="none"/>
                    </w:rPr>
                  </w:pPr>
                  <w:r>
                    <w:rPr>
                      <w:b/>
                      <w:bCs/>
                      <w:color w:val="auto"/>
                      <w:highlight w:val="none"/>
                    </w:rPr>
                    <w:t>（万元）</w:t>
                  </w:r>
                </w:p>
              </w:tc>
              <w:tc>
                <w:tcPr>
                  <w:tcW w:w="412" w:type="pct"/>
                  <w:tcBorders>
                    <w:tl2br w:val="nil"/>
                    <w:tr2bl w:val="nil"/>
                  </w:tcBorders>
                  <w:vAlign w:val="center"/>
                </w:tcPr>
                <w:p w14:paraId="2B2C937C">
                  <w:pPr>
                    <w:pStyle w:val="48"/>
                    <w:rPr>
                      <w:b/>
                      <w:bCs/>
                      <w:color w:val="auto"/>
                      <w:highlight w:val="none"/>
                    </w:rPr>
                  </w:pPr>
                  <w:r>
                    <w:rPr>
                      <w:b/>
                      <w:bCs/>
                      <w:color w:val="auto"/>
                      <w:highlight w:val="none"/>
                    </w:rPr>
                    <w:t>完成时间</w:t>
                  </w:r>
                </w:p>
              </w:tc>
            </w:tr>
            <w:tr w14:paraId="6D1238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243" w:type="pct"/>
                  <w:vMerge w:val="restart"/>
                  <w:tcBorders>
                    <w:tl2br w:val="nil"/>
                    <w:tr2bl w:val="nil"/>
                  </w:tcBorders>
                  <w:vAlign w:val="center"/>
                </w:tcPr>
                <w:p w14:paraId="0278AAAA">
                  <w:pPr>
                    <w:pStyle w:val="48"/>
                    <w:rPr>
                      <w:color w:val="auto"/>
                      <w:highlight w:val="none"/>
                    </w:rPr>
                  </w:pPr>
                  <w:r>
                    <w:rPr>
                      <w:color w:val="auto"/>
                      <w:highlight w:val="none"/>
                    </w:rPr>
                    <w:t>废气</w:t>
                  </w:r>
                </w:p>
              </w:tc>
              <w:tc>
                <w:tcPr>
                  <w:tcW w:w="252" w:type="pct"/>
                  <w:vMerge w:val="restart"/>
                  <w:tcBorders>
                    <w:tl2br w:val="nil"/>
                    <w:tr2bl w:val="nil"/>
                  </w:tcBorders>
                  <w:vAlign w:val="center"/>
                </w:tcPr>
                <w:p w14:paraId="515144AD">
                  <w:pPr>
                    <w:pStyle w:val="48"/>
                    <w:bidi w:val="0"/>
                    <w:rPr>
                      <w:rFonts w:hint="eastAsia" w:eastAsia="宋体"/>
                      <w:color w:val="auto"/>
                      <w:highlight w:val="none"/>
                      <w:lang w:val="en-US" w:eastAsia="zh-CN"/>
                    </w:rPr>
                  </w:pPr>
                  <w:r>
                    <w:rPr>
                      <w:rFonts w:hint="eastAsia"/>
                      <w:color w:val="auto"/>
                      <w:highlight w:val="none"/>
                      <w:lang w:val="en-US" w:eastAsia="zh-CN"/>
                    </w:rPr>
                    <w:t>无组织</w:t>
                  </w:r>
                </w:p>
              </w:tc>
              <w:tc>
                <w:tcPr>
                  <w:tcW w:w="677" w:type="pct"/>
                  <w:tcBorders>
                    <w:tl2br w:val="nil"/>
                    <w:tr2bl w:val="nil"/>
                  </w:tcBorders>
                  <w:shd w:val="clear" w:color="auto" w:fill="auto"/>
                  <w:vAlign w:val="center"/>
                </w:tcPr>
                <w:p w14:paraId="68AF9730">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电池燃烧废气</w:t>
                  </w:r>
                </w:p>
              </w:tc>
              <w:tc>
                <w:tcPr>
                  <w:tcW w:w="577" w:type="pct"/>
                  <w:tcBorders>
                    <w:tl2br w:val="nil"/>
                    <w:tr2bl w:val="nil"/>
                  </w:tcBorders>
                  <w:shd w:val="clear" w:color="auto" w:fill="auto"/>
                  <w:vAlign w:val="center"/>
                </w:tcPr>
                <w:p w14:paraId="643FCCF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非甲烷总烃</w:t>
                  </w:r>
                  <w:r>
                    <w:rPr>
                      <w:rFonts w:hint="eastAsia" w:ascii="Times New Roman" w:hAnsi="Times New Roman" w:cs="Times New Roman"/>
                      <w:b w:val="0"/>
                      <w:bCs w:val="0"/>
                      <w:color w:val="auto"/>
                      <w:sz w:val="21"/>
                      <w:szCs w:val="21"/>
                      <w:highlight w:val="none"/>
                      <w:vertAlign w:val="baseline"/>
                      <w:lang w:val="en-US" w:eastAsia="zh-CN"/>
                    </w:rPr>
                    <w:t>、氟化物、颗粒物</w:t>
                  </w:r>
                </w:p>
              </w:tc>
              <w:tc>
                <w:tcPr>
                  <w:tcW w:w="1395" w:type="pct"/>
                  <w:tcBorders>
                    <w:tl2br w:val="nil"/>
                    <w:tr2bl w:val="nil"/>
                  </w:tcBorders>
                  <w:shd w:val="clear" w:color="auto" w:fill="auto"/>
                  <w:vAlign w:val="center"/>
                </w:tcPr>
                <w:p w14:paraId="1C39BF9A">
                  <w:pPr>
                    <w:pStyle w:val="48"/>
                    <w:ind w:firstLine="0" w:firstLineChars="0"/>
                    <w:rPr>
                      <w:rFonts w:hint="eastAsia" w:ascii="Times New Roman" w:hAnsi="Times New Roman" w:eastAsia="宋体" w:cs="Times New Roman"/>
                      <w:color w:val="auto"/>
                      <w:spacing w:val="-10"/>
                      <w:kern w:val="0"/>
                      <w:sz w:val="21"/>
                      <w:szCs w:val="21"/>
                      <w:highlight w:val="none"/>
                      <w:lang w:val="en-US" w:eastAsia="zh-CN" w:bidi="ar-SA"/>
                    </w:rPr>
                  </w:pPr>
                  <w:r>
                    <w:rPr>
                      <w:rFonts w:hint="eastAsia" w:cs="Times New Roman"/>
                      <w:color w:val="auto"/>
                      <w:spacing w:val="-10"/>
                      <w:kern w:val="0"/>
                      <w:sz w:val="21"/>
                      <w:szCs w:val="21"/>
                      <w:highlight w:val="none"/>
                      <w:lang w:val="en-US" w:eastAsia="zh-CN" w:bidi="ar-SA"/>
                    </w:rPr>
                    <w:t>/</w:t>
                  </w:r>
                </w:p>
              </w:tc>
              <w:tc>
                <w:tcPr>
                  <w:tcW w:w="1022" w:type="pct"/>
                  <w:vMerge w:val="restart"/>
                  <w:tcBorders>
                    <w:tl2br w:val="nil"/>
                    <w:tr2bl w:val="nil"/>
                  </w:tcBorders>
                  <w:vAlign w:val="center"/>
                </w:tcPr>
                <w:p w14:paraId="46AFE481">
                  <w:pPr>
                    <w:pStyle w:val="48"/>
                    <w:rPr>
                      <w:rFonts w:hint="eastAsia" w:eastAsia="宋体"/>
                      <w:color w:val="auto"/>
                      <w:highlight w:val="none"/>
                      <w:lang w:val="en-US" w:eastAsia="zh-CN"/>
                    </w:rPr>
                  </w:pPr>
                  <w:r>
                    <w:rPr>
                      <w:rFonts w:hint="eastAsia"/>
                      <w:color w:val="auto"/>
                      <w:highlight w:val="none"/>
                    </w:rPr>
                    <w:t>《大气污染物综合排放标准》（DB32/4041-2021）</w:t>
                  </w:r>
                </w:p>
              </w:tc>
              <w:tc>
                <w:tcPr>
                  <w:tcW w:w="417" w:type="pct"/>
                  <w:tcBorders>
                    <w:tl2br w:val="nil"/>
                    <w:tr2bl w:val="nil"/>
                  </w:tcBorders>
                  <w:vAlign w:val="center"/>
                </w:tcPr>
                <w:p w14:paraId="10ABE4EB">
                  <w:pPr>
                    <w:pStyle w:val="48"/>
                    <w:bidi w:val="0"/>
                    <w:rPr>
                      <w:rFonts w:hint="default" w:eastAsia="宋体"/>
                      <w:color w:val="auto"/>
                      <w:highlight w:val="none"/>
                      <w:lang w:val="en-US" w:eastAsia="zh-CN"/>
                    </w:rPr>
                  </w:pPr>
                  <w:r>
                    <w:rPr>
                      <w:rFonts w:hint="eastAsia"/>
                      <w:color w:val="auto"/>
                      <w:highlight w:val="none"/>
                      <w:lang w:val="en-US" w:eastAsia="zh-CN"/>
                    </w:rPr>
                    <w:t>-</w:t>
                  </w:r>
                </w:p>
              </w:tc>
              <w:tc>
                <w:tcPr>
                  <w:tcW w:w="412" w:type="pct"/>
                  <w:vMerge w:val="restart"/>
                  <w:tcBorders>
                    <w:tl2br w:val="nil"/>
                    <w:tr2bl w:val="nil"/>
                  </w:tcBorders>
                  <w:vAlign w:val="center"/>
                </w:tcPr>
                <w:p w14:paraId="26EE1A1A">
                  <w:pPr>
                    <w:pStyle w:val="48"/>
                    <w:rPr>
                      <w:color w:val="auto"/>
                      <w:highlight w:val="none"/>
                    </w:rPr>
                  </w:pPr>
                  <w:r>
                    <w:rPr>
                      <w:color w:val="auto"/>
                      <w:highlight w:val="none"/>
                    </w:rPr>
                    <w:t>与建设项目主体工程同时设计、同时开</w:t>
                  </w:r>
                  <w:r>
                    <w:rPr>
                      <w:rFonts w:hint="eastAsia"/>
                      <w:color w:val="auto"/>
                      <w:highlight w:val="none"/>
                      <w:lang w:eastAsia="zh-CN"/>
                    </w:rPr>
                    <w:t>工、</w:t>
                  </w:r>
                  <w:r>
                    <w:rPr>
                      <w:color w:val="auto"/>
                      <w:highlight w:val="none"/>
                    </w:rPr>
                    <w:t>同时建成运行</w:t>
                  </w:r>
                </w:p>
              </w:tc>
            </w:tr>
            <w:tr w14:paraId="505E1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43" w:type="pct"/>
                  <w:vMerge w:val="continue"/>
                  <w:tcBorders>
                    <w:tl2br w:val="nil"/>
                    <w:tr2bl w:val="nil"/>
                  </w:tcBorders>
                  <w:vAlign w:val="center"/>
                </w:tcPr>
                <w:p w14:paraId="3114E196">
                  <w:pPr>
                    <w:pStyle w:val="48"/>
                    <w:rPr>
                      <w:color w:val="auto"/>
                      <w:highlight w:val="none"/>
                    </w:rPr>
                  </w:pPr>
                </w:p>
              </w:tc>
              <w:tc>
                <w:tcPr>
                  <w:tcW w:w="252" w:type="pct"/>
                  <w:vMerge w:val="continue"/>
                  <w:tcBorders>
                    <w:tl2br w:val="nil"/>
                    <w:tr2bl w:val="nil"/>
                  </w:tcBorders>
                  <w:vAlign w:val="center"/>
                </w:tcPr>
                <w:p w14:paraId="7240AD03">
                  <w:pPr>
                    <w:pStyle w:val="48"/>
                    <w:bidi w:val="0"/>
                    <w:rPr>
                      <w:rFonts w:hint="eastAsia" w:eastAsia="宋体"/>
                      <w:color w:val="auto"/>
                      <w:highlight w:val="none"/>
                      <w:lang w:val="en-US" w:eastAsia="zh-CN"/>
                    </w:rPr>
                  </w:pPr>
                </w:p>
              </w:tc>
              <w:tc>
                <w:tcPr>
                  <w:tcW w:w="677" w:type="pct"/>
                  <w:tcBorders>
                    <w:tl2br w:val="nil"/>
                    <w:tr2bl w:val="nil"/>
                  </w:tcBorders>
                  <w:shd w:val="clear" w:color="auto" w:fill="auto"/>
                  <w:vAlign w:val="center"/>
                </w:tcPr>
                <w:p w14:paraId="31606639">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cs="Times New Roman"/>
                      <w:b w:val="0"/>
                      <w:bCs w:val="0"/>
                      <w:color w:val="auto"/>
                      <w:sz w:val="21"/>
                      <w:szCs w:val="21"/>
                      <w:highlight w:val="none"/>
                      <w:vertAlign w:val="baseline"/>
                      <w:lang w:val="en-US" w:eastAsia="zh-CN"/>
                    </w:rPr>
                    <w:t>危废贮存废气</w:t>
                  </w:r>
                </w:p>
              </w:tc>
              <w:tc>
                <w:tcPr>
                  <w:tcW w:w="577" w:type="pct"/>
                  <w:tcBorders>
                    <w:tl2br w:val="nil"/>
                    <w:tr2bl w:val="nil"/>
                  </w:tcBorders>
                  <w:shd w:val="clear" w:color="auto" w:fill="auto"/>
                  <w:vAlign w:val="center"/>
                </w:tcPr>
                <w:p w14:paraId="6802C295">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非甲烷总烃</w:t>
                  </w:r>
                </w:p>
              </w:tc>
              <w:tc>
                <w:tcPr>
                  <w:tcW w:w="1395" w:type="pct"/>
                  <w:tcBorders>
                    <w:tl2br w:val="nil"/>
                    <w:tr2bl w:val="nil"/>
                  </w:tcBorders>
                  <w:shd w:val="clear" w:color="auto" w:fill="auto"/>
                  <w:vAlign w:val="center"/>
                </w:tcPr>
                <w:p w14:paraId="64A119CA">
                  <w:pPr>
                    <w:pStyle w:val="48"/>
                    <w:ind w:firstLine="0" w:firstLineChars="0"/>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1022" w:type="pct"/>
                  <w:vMerge w:val="continue"/>
                  <w:tcBorders>
                    <w:tl2br w:val="nil"/>
                    <w:tr2bl w:val="nil"/>
                  </w:tcBorders>
                  <w:vAlign w:val="center"/>
                </w:tcPr>
                <w:p w14:paraId="730A59A4">
                  <w:pPr>
                    <w:pStyle w:val="48"/>
                    <w:rPr>
                      <w:rFonts w:hint="eastAsia" w:eastAsia="宋体"/>
                      <w:color w:val="auto"/>
                      <w:highlight w:val="none"/>
                      <w:lang w:val="en-US" w:eastAsia="zh-CN"/>
                    </w:rPr>
                  </w:pPr>
                </w:p>
              </w:tc>
              <w:tc>
                <w:tcPr>
                  <w:tcW w:w="417" w:type="pct"/>
                  <w:tcBorders>
                    <w:tl2br w:val="nil"/>
                    <w:tr2bl w:val="nil"/>
                  </w:tcBorders>
                  <w:vAlign w:val="center"/>
                </w:tcPr>
                <w:p w14:paraId="5C6CC400">
                  <w:pPr>
                    <w:pStyle w:val="48"/>
                    <w:rPr>
                      <w:rFonts w:hint="default" w:eastAsia="宋体"/>
                      <w:color w:val="auto"/>
                      <w:highlight w:val="none"/>
                      <w:lang w:val="en-US" w:eastAsia="zh-CN"/>
                    </w:rPr>
                  </w:pPr>
                  <w:r>
                    <w:rPr>
                      <w:rFonts w:hint="eastAsia"/>
                      <w:color w:val="auto"/>
                      <w:highlight w:val="none"/>
                      <w:lang w:val="en-US" w:eastAsia="zh-CN"/>
                    </w:rPr>
                    <w:t>-</w:t>
                  </w:r>
                </w:p>
              </w:tc>
              <w:tc>
                <w:tcPr>
                  <w:tcW w:w="412" w:type="pct"/>
                  <w:vMerge w:val="continue"/>
                  <w:tcBorders>
                    <w:tl2br w:val="nil"/>
                    <w:tr2bl w:val="nil"/>
                  </w:tcBorders>
                  <w:vAlign w:val="center"/>
                </w:tcPr>
                <w:p w14:paraId="35EE6A5F">
                  <w:pPr>
                    <w:pStyle w:val="48"/>
                    <w:rPr>
                      <w:color w:val="auto"/>
                      <w:highlight w:val="none"/>
                    </w:rPr>
                  </w:pPr>
                </w:p>
              </w:tc>
            </w:tr>
            <w:tr w14:paraId="7B2943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495" w:type="pct"/>
                  <w:gridSpan w:val="2"/>
                  <w:tcBorders>
                    <w:tl2br w:val="nil"/>
                    <w:tr2bl w:val="nil"/>
                  </w:tcBorders>
                  <w:vAlign w:val="center"/>
                </w:tcPr>
                <w:p w14:paraId="59048915">
                  <w:pPr>
                    <w:pStyle w:val="48"/>
                    <w:rPr>
                      <w:color w:val="auto"/>
                      <w:highlight w:val="none"/>
                    </w:rPr>
                  </w:pPr>
                  <w:r>
                    <w:rPr>
                      <w:rFonts w:hint="eastAsia"/>
                      <w:color w:val="auto"/>
                      <w:highlight w:val="none"/>
                    </w:rPr>
                    <w:t>废水</w:t>
                  </w:r>
                </w:p>
              </w:tc>
              <w:tc>
                <w:tcPr>
                  <w:tcW w:w="677" w:type="pct"/>
                  <w:tcBorders>
                    <w:tl2br w:val="nil"/>
                    <w:tr2bl w:val="nil"/>
                  </w:tcBorders>
                  <w:vAlign w:val="center"/>
                </w:tcPr>
                <w:p w14:paraId="119A7982">
                  <w:pPr>
                    <w:pStyle w:val="48"/>
                    <w:rPr>
                      <w:rFonts w:hint="eastAsia" w:eastAsia="宋体"/>
                      <w:color w:val="auto"/>
                      <w:highlight w:val="none"/>
                      <w:lang w:eastAsia="zh-CN"/>
                    </w:rPr>
                  </w:pPr>
                  <w:r>
                    <w:rPr>
                      <w:rFonts w:hint="eastAsia"/>
                      <w:color w:val="auto"/>
                      <w:highlight w:val="none"/>
                      <w:lang w:val="en-US" w:eastAsia="zh-CN"/>
                    </w:rPr>
                    <w:t>生活污水</w:t>
                  </w:r>
                </w:p>
              </w:tc>
              <w:tc>
                <w:tcPr>
                  <w:tcW w:w="577" w:type="pct"/>
                  <w:tcBorders>
                    <w:tl2br w:val="nil"/>
                    <w:tr2bl w:val="nil"/>
                  </w:tcBorders>
                  <w:vAlign w:val="center"/>
                </w:tcPr>
                <w:p w14:paraId="6822E58A">
                  <w:pPr>
                    <w:pStyle w:val="48"/>
                    <w:rPr>
                      <w:color w:val="auto"/>
                      <w:highlight w:val="none"/>
                    </w:rPr>
                  </w:pPr>
                  <w:r>
                    <w:rPr>
                      <w:rFonts w:hint="eastAsia"/>
                      <w:color w:val="auto"/>
                      <w:highlight w:val="none"/>
                    </w:rPr>
                    <w:t>COD、SS、</w:t>
                  </w:r>
                  <w:r>
                    <w:rPr>
                      <w:rFonts w:hint="eastAsia"/>
                      <w:color w:val="auto"/>
                      <w:highlight w:val="none"/>
                      <w:lang w:val="en-US" w:eastAsia="zh-CN"/>
                    </w:rPr>
                    <w:t>氨氮、TP、TN</w:t>
                  </w:r>
                </w:p>
              </w:tc>
              <w:tc>
                <w:tcPr>
                  <w:tcW w:w="1395" w:type="pct"/>
                  <w:tcBorders>
                    <w:tl2br w:val="nil"/>
                    <w:tr2bl w:val="nil"/>
                  </w:tcBorders>
                  <w:shd w:val="clear" w:color="auto" w:fill="auto"/>
                  <w:vAlign w:val="center"/>
                </w:tcPr>
                <w:p w14:paraId="7B03FBF4">
                  <w:pPr>
                    <w:pStyle w:val="48"/>
                    <w:ind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生活污水经化粪池处理</w:t>
                  </w:r>
                  <w:r>
                    <w:rPr>
                      <w:rFonts w:hint="eastAsia"/>
                      <w:color w:val="auto"/>
                      <w:sz w:val="21"/>
                      <w:szCs w:val="21"/>
                      <w:highlight w:val="none"/>
                      <w:lang w:val="en-US" w:eastAsia="zh-CN"/>
                    </w:rPr>
                    <w:t>（依托园区）</w:t>
                  </w:r>
                </w:p>
              </w:tc>
              <w:tc>
                <w:tcPr>
                  <w:tcW w:w="1022" w:type="pct"/>
                  <w:tcBorders>
                    <w:tl2br w:val="nil"/>
                    <w:tr2bl w:val="nil"/>
                  </w:tcBorders>
                  <w:vAlign w:val="center"/>
                </w:tcPr>
                <w:p w14:paraId="45F6D831">
                  <w:pPr>
                    <w:pStyle w:val="48"/>
                    <w:ind w:firstLine="0" w:firstLineChars="0"/>
                    <w:rPr>
                      <w:color w:val="auto"/>
                      <w:highlight w:val="none"/>
                    </w:rPr>
                  </w:pPr>
                  <w:bookmarkStart w:id="203" w:name="sys2600065"/>
                  <w:r>
                    <w:rPr>
                      <w:rFonts w:hint="eastAsia" w:cs="Times New Roman"/>
                      <w:color w:val="auto"/>
                      <w:highlight w:val="none"/>
                      <w:lang w:eastAsia="zh-CN"/>
                    </w:rPr>
                    <w:t>《</w:t>
                  </w:r>
                  <w:r>
                    <w:rPr>
                      <w:rFonts w:hint="eastAsia" w:ascii="Times New Roman" w:hAnsi="Times New Roman" w:eastAsia="宋体" w:cs="Times New Roman"/>
                      <w:color w:val="auto"/>
                      <w:highlight w:val="none"/>
                    </w:rPr>
                    <w:t>污水综合排放标准》（GB8978-1996）表4</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《污水排入城镇下水道水质标准》（GB/T31962-2015）表1中B等级标准</w:t>
                  </w:r>
                  <w:bookmarkEnd w:id="203"/>
                </w:p>
              </w:tc>
              <w:tc>
                <w:tcPr>
                  <w:tcW w:w="417" w:type="pct"/>
                  <w:tcBorders>
                    <w:tl2br w:val="nil"/>
                    <w:tr2bl w:val="nil"/>
                  </w:tcBorders>
                  <w:vAlign w:val="center"/>
                </w:tcPr>
                <w:p w14:paraId="6EA3C4A6">
                  <w:pPr>
                    <w:pStyle w:val="48"/>
                    <w:rPr>
                      <w:rFonts w:hint="default" w:eastAsia="宋体"/>
                      <w:color w:val="auto"/>
                      <w:highlight w:val="none"/>
                      <w:lang w:val="en-US" w:eastAsia="zh-CN"/>
                    </w:rPr>
                  </w:pPr>
                  <w:r>
                    <w:rPr>
                      <w:rFonts w:hint="eastAsia"/>
                      <w:color w:val="auto"/>
                      <w:highlight w:val="none"/>
                      <w:lang w:val="en-US" w:eastAsia="zh-CN"/>
                    </w:rPr>
                    <w:t>-</w:t>
                  </w:r>
                </w:p>
              </w:tc>
              <w:tc>
                <w:tcPr>
                  <w:tcW w:w="412" w:type="pct"/>
                  <w:vMerge w:val="continue"/>
                  <w:tcBorders>
                    <w:tl2br w:val="nil"/>
                    <w:tr2bl w:val="nil"/>
                  </w:tcBorders>
                  <w:vAlign w:val="center"/>
                </w:tcPr>
                <w:p w14:paraId="0FC30AE7">
                  <w:pPr>
                    <w:pStyle w:val="48"/>
                    <w:rPr>
                      <w:color w:val="auto"/>
                      <w:highlight w:val="none"/>
                    </w:rPr>
                  </w:pPr>
                </w:p>
                <w:p w14:paraId="56FB81D1">
                  <w:pPr>
                    <w:pStyle w:val="48"/>
                    <w:rPr>
                      <w:color w:val="auto"/>
                      <w:highlight w:val="none"/>
                    </w:rPr>
                  </w:pPr>
                  <w:r>
                    <w:rPr>
                      <w:color w:val="auto"/>
                      <w:highlight w:val="none"/>
                    </w:rPr>
                    <w:t>依托</w:t>
                  </w:r>
                </w:p>
                <w:p w14:paraId="2518D0B7">
                  <w:pPr>
                    <w:pStyle w:val="48"/>
                    <w:rPr>
                      <w:color w:val="auto"/>
                      <w:highlight w:val="none"/>
                    </w:rPr>
                  </w:pPr>
                  <w:r>
                    <w:rPr>
                      <w:color w:val="auto"/>
                      <w:highlight w:val="none"/>
                    </w:rPr>
                    <w:t>现有</w:t>
                  </w:r>
                </w:p>
              </w:tc>
            </w:tr>
            <w:tr w14:paraId="35F9A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5" w:type="pct"/>
                  <w:gridSpan w:val="2"/>
                  <w:tcBorders>
                    <w:tl2br w:val="nil"/>
                    <w:tr2bl w:val="nil"/>
                  </w:tcBorders>
                  <w:vAlign w:val="center"/>
                </w:tcPr>
                <w:p w14:paraId="7F17D7C1">
                  <w:pPr>
                    <w:pStyle w:val="48"/>
                    <w:rPr>
                      <w:color w:val="auto"/>
                      <w:highlight w:val="none"/>
                    </w:rPr>
                  </w:pPr>
                  <w:r>
                    <w:rPr>
                      <w:color w:val="auto"/>
                      <w:highlight w:val="none"/>
                    </w:rPr>
                    <w:t>噪声</w:t>
                  </w:r>
                </w:p>
              </w:tc>
              <w:tc>
                <w:tcPr>
                  <w:tcW w:w="677" w:type="pct"/>
                  <w:tcBorders>
                    <w:tl2br w:val="nil"/>
                    <w:tr2bl w:val="nil"/>
                  </w:tcBorders>
                  <w:vAlign w:val="center"/>
                </w:tcPr>
                <w:p w14:paraId="2409325E">
                  <w:pPr>
                    <w:pStyle w:val="48"/>
                    <w:rPr>
                      <w:color w:val="auto"/>
                      <w:highlight w:val="none"/>
                    </w:rPr>
                  </w:pPr>
                  <w:r>
                    <w:rPr>
                      <w:color w:val="auto"/>
                      <w:highlight w:val="none"/>
                    </w:rPr>
                    <w:t>设备噪声</w:t>
                  </w:r>
                </w:p>
              </w:tc>
              <w:tc>
                <w:tcPr>
                  <w:tcW w:w="577" w:type="pct"/>
                  <w:tcBorders>
                    <w:tl2br w:val="nil"/>
                    <w:tr2bl w:val="nil"/>
                  </w:tcBorders>
                  <w:vAlign w:val="center"/>
                </w:tcPr>
                <w:p w14:paraId="52DAECA3">
                  <w:pPr>
                    <w:pStyle w:val="48"/>
                    <w:rPr>
                      <w:color w:val="auto"/>
                      <w:highlight w:val="none"/>
                    </w:rPr>
                  </w:pPr>
                  <w:r>
                    <w:rPr>
                      <w:color w:val="auto"/>
                      <w:highlight w:val="none"/>
                    </w:rPr>
                    <w:t>噪声</w:t>
                  </w:r>
                </w:p>
              </w:tc>
              <w:tc>
                <w:tcPr>
                  <w:tcW w:w="1395" w:type="pct"/>
                  <w:tcBorders>
                    <w:tl2br w:val="nil"/>
                    <w:tr2bl w:val="nil"/>
                  </w:tcBorders>
                  <w:vAlign w:val="center"/>
                </w:tcPr>
                <w:p w14:paraId="4B00064A">
                  <w:pPr>
                    <w:pStyle w:val="48"/>
                    <w:rPr>
                      <w:color w:val="auto"/>
                      <w:highlight w:val="none"/>
                    </w:rPr>
                  </w:pPr>
                  <w:r>
                    <w:rPr>
                      <w:color w:val="auto"/>
                      <w:highlight w:val="none"/>
                    </w:rPr>
                    <w:t>合理布局，设备隔声</w:t>
                  </w:r>
                </w:p>
              </w:tc>
              <w:tc>
                <w:tcPr>
                  <w:tcW w:w="1022" w:type="pct"/>
                  <w:tcBorders>
                    <w:tl2br w:val="nil"/>
                    <w:tr2bl w:val="nil"/>
                  </w:tcBorders>
                  <w:vAlign w:val="center"/>
                </w:tcPr>
                <w:p w14:paraId="5E0F6C34">
                  <w:pPr>
                    <w:pStyle w:val="48"/>
                    <w:rPr>
                      <w:color w:val="auto"/>
                      <w:highlight w:val="none"/>
                    </w:rPr>
                  </w:pPr>
                  <w:r>
                    <w:rPr>
                      <w:color w:val="auto"/>
                      <w:highlight w:val="none"/>
                    </w:rPr>
                    <w:t>《工业企业厂界环境噪声排放标准》（GB12348-2008）的</w:t>
                  </w:r>
                  <w:r>
                    <w:rPr>
                      <w:rFonts w:hint="eastAsia"/>
                      <w:color w:val="auto"/>
                      <w:highlight w:val="none"/>
                      <w:lang w:val="en-US" w:eastAsia="zh-CN"/>
                    </w:rPr>
                    <w:t>3</w:t>
                  </w:r>
                  <w:r>
                    <w:rPr>
                      <w:color w:val="auto"/>
                      <w:highlight w:val="none"/>
                    </w:rPr>
                    <w:t>类标准</w:t>
                  </w:r>
                </w:p>
              </w:tc>
              <w:tc>
                <w:tcPr>
                  <w:tcW w:w="417" w:type="pct"/>
                  <w:tcBorders>
                    <w:tl2br w:val="nil"/>
                    <w:tr2bl w:val="nil"/>
                  </w:tcBorders>
                  <w:vAlign w:val="center"/>
                </w:tcPr>
                <w:p w14:paraId="4C86FC2C">
                  <w:pPr>
                    <w:pStyle w:val="48"/>
                    <w:rPr>
                      <w:rFonts w:hint="default" w:eastAsia="宋体"/>
                      <w:color w:val="auto"/>
                      <w:highlight w:val="none"/>
                      <w:lang w:val="en-US" w:eastAsia="zh-CN"/>
                    </w:rPr>
                  </w:pPr>
                  <w:r>
                    <w:rPr>
                      <w:rFonts w:hint="eastAsia"/>
                      <w:color w:val="auto"/>
                      <w:highlight w:val="none"/>
                      <w:lang w:val="en-US" w:eastAsia="zh-CN"/>
                    </w:rPr>
                    <w:t>1</w:t>
                  </w:r>
                </w:p>
              </w:tc>
              <w:tc>
                <w:tcPr>
                  <w:tcW w:w="412" w:type="pct"/>
                  <w:vMerge w:val="continue"/>
                  <w:tcBorders>
                    <w:tl2br w:val="nil"/>
                    <w:tr2bl w:val="nil"/>
                  </w:tcBorders>
                  <w:vAlign w:val="center"/>
                </w:tcPr>
                <w:p w14:paraId="3C9946FC">
                  <w:pPr>
                    <w:pStyle w:val="48"/>
                    <w:rPr>
                      <w:color w:val="auto"/>
                      <w:highlight w:val="none"/>
                    </w:rPr>
                  </w:pPr>
                </w:p>
                <w:p w14:paraId="42C51278">
                  <w:pPr>
                    <w:pStyle w:val="48"/>
                    <w:rPr>
                      <w:color w:val="auto"/>
                      <w:highlight w:val="none"/>
                    </w:rPr>
                  </w:pPr>
                  <w:r>
                    <w:rPr>
                      <w:color w:val="auto"/>
                      <w:highlight w:val="none"/>
                    </w:rPr>
                    <w:t>依托现有</w:t>
                  </w:r>
                </w:p>
                <w:p w14:paraId="27643CC9">
                  <w:pPr>
                    <w:pStyle w:val="48"/>
                    <w:rPr>
                      <w:color w:val="auto"/>
                      <w:highlight w:val="none"/>
                    </w:rPr>
                  </w:pPr>
                  <w:r>
                    <w:rPr>
                      <w:color w:val="auto"/>
                      <w:highlight w:val="none"/>
                    </w:rPr>
                    <w:t>依托现有</w:t>
                  </w:r>
                </w:p>
              </w:tc>
            </w:tr>
            <w:tr w14:paraId="35990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495" w:type="pct"/>
                  <w:gridSpan w:val="2"/>
                  <w:vMerge w:val="restart"/>
                  <w:tcBorders>
                    <w:tl2br w:val="nil"/>
                    <w:tr2bl w:val="nil"/>
                  </w:tcBorders>
                  <w:vAlign w:val="center"/>
                </w:tcPr>
                <w:p w14:paraId="28B37CB7">
                  <w:pPr>
                    <w:pStyle w:val="48"/>
                    <w:rPr>
                      <w:color w:val="auto"/>
                      <w:highlight w:val="none"/>
                    </w:rPr>
                  </w:pPr>
                  <w:r>
                    <w:rPr>
                      <w:color w:val="auto"/>
                      <w:highlight w:val="none"/>
                    </w:rPr>
                    <w:t>固废</w:t>
                  </w:r>
                </w:p>
              </w:tc>
              <w:tc>
                <w:tcPr>
                  <w:tcW w:w="1255" w:type="pct"/>
                  <w:gridSpan w:val="2"/>
                  <w:tcBorders>
                    <w:tl2br w:val="nil"/>
                    <w:tr2bl w:val="nil"/>
                  </w:tcBorders>
                  <w:vAlign w:val="center"/>
                </w:tcPr>
                <w:p w14:paraId="12B87A49">
                  <w:pPr>
                    <w:pStyle w:val="48"/>
                    <w:rPr>
                      <w:color w:val="auto"/>
                      <w:highlight w:val="none"/>
                    </w:rPr>
                  </w:pPr>
                  <w:r>
                    <w:rPr>
                      <w:color w:val="auto"/>
                      <w:highlight w:val="none"/>
                    </w:rPr>
                    <w:t>一般</w:t>
                  </w:r>
                  <w:r>
                    <w:rPr>
                      <w:rFonts w:hint="eastAsia"/>
                      <w:color w:val="auto"/>
                      <w:highlight w:val="none"/>
                      <w:lang w:val="en-US" w:eastAsia="zh-CN"/>
                    </w:rPr>
                    <w:t>工业</w:t>
                  </w:r>
                  <w:r>
                    <w:rPr>
                      <w:color w:val="auto"/>
                      <w:highlight w:val="none"/>
                    </w:rPr>
                    <w:t>固废</w:t>
                  </w:r>
                </w:p>
              </w:tc>
              <w:tc>
                <w:tcPr>
                  <w:tcW w:w="1395" w:type="pct"/>
                  <w:tcBorders>
                    <w:tl2br w:val="nil"/>
                    <w:tr2bl w:val="nil"/>
                  </w:tcBorders>
                  <w:vAlign w:val="center"/>
                </w:tcPr>
                <w:p w14:paraId="0E53D4D7">
                  <w:pPr>
                    <w:pStyle w:val="48"/>
                    <w:rPr>
                      <w:color w:val="auto"/>
                      <w:highlight w:val="none"/>
                    </w:rPr>
                  </w:pPr>
                  <w:r>
                    <w:rPr>
                      <w:rFonts w:hint="eastAsia" w:ascii="Times New Roman" w:hAnsi="Times New Roman" w:eastAsia="宋体" w:cs="Times New Roman"/>
                      <w:color w:val="auto"/>
                      <w:highlight w:val="none"/>
                      <w:lang w:val="en-US" w:eastAsia="zh-CN"/>
                    </w:rPr>
                    <w:t>设置</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rPr>
                    <w:t>m</w:t>
                  </w:r>
                  <w:r>
                    <w:rPr>
                      <w:rFonts w:hint="eastAsia" w:ascii="Times New Roman" w:hAnsi="Times New Roman" w:eastAsia="宋体" w:cs="Times New Roman"/>
                      <w:color w:val="auto"/>
                      <w:highlight w:val="none"/>
                      <w:vertAlign w:val="superscript"/>
                    </w:rPr>
                    <w:t>2</w:t>
                  </w:r>
                  <w:r>
                    <w:rPr>
                      <w:rFonts w:ascii="Times New Roman" w:hAnsi="Times New Roman" w:eastAsia="宋体" w:cs="Times New Roman"/>
                      <w:color w:val="auto"/>
                      <w:highlight w:val="none"/>
                    </w:rPr>
                    <w:t>一般固废库</w:t>
                  </w:r>
                </w:p>
              </w:tc>
              <w:tc>
                <w:tcPr>
                  <w:tcW w:w="1022" w:type="pct"/>
                  <w:vMerge w:val="restart"/>
                  <w:tcBorders>
                    <w:tl2br w:val="nil"/>
                    <w:tr2bl w:val="nil"/>
                  </w:tcBorders>
                  <w:vAlign w:val="center"/>
                </w:tcPr>
                <w:p w14:paraId="7905CAAE">
                  <w:pPr>
                    <w:pStyle w:val="48"/>
                    <w:rPr>
                      <w:color w:val="auto"/>
                      <w:highlight w:val="none"/>
                    </w:rPr>
                  </w:pPr>
                  <w:r>
                    <w:rPr>
                      <w:color w:val="auto"/>
                      <w:highlight w:val="none"/>
                    </w:rPr>
                    <w:t>不产生二次污染</w:t>
                  </w:r>
                </w:p>
              </w:tc>
              <w:tc>
                <w:tcPr>
                  <w:tcW w:w="417" w:type="pct"/>
                  <w:tcBorders>
                    <w:tl2br w:val="nil"/>
                    <w:tr2bl w:val="nil"/>
                  </w:tcBorders>
                  <w:vAlign w:val="center"/>
                </w:tcPr>
                <w:p w14:paraId="718C9339">
                  <w:pPr>
                    <w:pStyle w:val="48"/>
                    <w:rPr>
                      <w:rFonts w:hint="default" w:eastAsia="宋体"/>
                      <w:color w:val="auto"/>
                      <w:highlight w:val="none"/>
                      <w:lang w:val="en-US" w:eastAsia="zh-CN"/>
                    </w:rPr>
                  </w:pPr>
                  <w:r>
                    <w:rPr>
                      <w:rFonts w:hint="eastAsia"/>
                      <w:color w:val="auto"/>
                      <w:highlight w:val="none"/>
                      <w:lang w:val="en-US" w:eastAsia="zh-CN"/>
                    </w:rPr>
                    <w:t>-</w:t>
                  </w:r>
                </w:p>
              </w:tc>
              <w:tc>
                <w:tcPr>
                  <w:tcW w:w="412" w:type="pct"/>
                  <w:vMerge w:val="continue"/>
                  <w:tcBorders>
                    <w:tl2br w:val="nil"/>
                    <w:tr2bl w:val="nil"/>
                  </w:tcBorders>
                  <w:vAlign w:val="center"/>
                </w:tcPr>
                <w:p w14:paraId="007CA6CA">
                  <w:pPr>
                    <w:pStyle w:val="48"/>
                    <w:rPr>
                      <w:color w:val="auto"/>
                      <w:highlight w:val="none"/>
                    </w:rPr>
                  </w:pPr>
                </w:p>
              </w:tc>
            </w:tr>
            <w:tr w14:paraId="0705F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495" w:type="pct"/>
                  <w:gridSpan w:val="2"/>
                  <w:vMerge w:val="continue"/>
                  <w:tcBorders>
                    <w:tl2br w:val="nil"/>
                    <w:tr2bl w:val="nil"/>
                  </w:tcBorders>
                  <w:vAlign w:val="center"/>
                </w:tcPr>
                <w:p w14:paraId="1D54E981">
                  <w:pPr>
                    <w:pStyle w:val="48"/>
                    <w:rPr>
                      <w:color w:val="auto"/>
                      <w:highlight w:val="none"/>
                    </w:rPr>
                  </w:pPr>
                </w:p>
              </w:tc>
              <w:tc>
                <w:tcPr>
                  <w:tcW w:w="1255" w:type="pct"/>
                  <w:gridSpan w:val="2"/>
                  <w:tcBorders>
                    <w:tl2br w:val="nil"/>
                    <w:tr2bl w:val="nil"/>
                  </w:tcBorders>
                  <w:vAlign w:val="center"/>
                </w:tcPr>
                <w:p w14:paraId="6112628B">
                  <w:pPr>
                    <w:pStyle w:val="48"/>
                    <w:rPr>
                      <w:color w:val="auto"/>
                      <w:highlight w:val="none"/>
                    </w:rPr>
                  </w:pPr>
                  <w:r>
                    <w:rPr>
                      <w:color w:val="auto"/>
                      <w:highlight w:val="none"/>
                    </w:rPr>
                    <w:t>危险废物</w:t>
                  </w:r>
                </w:p>
              </w:tc>
              <w:tc>
                <w:tcPr>
                  <w:tcW w:w="1395" w:type="pct"/>
                  <w:tcBorders>
                    <w:tl2br w:val="nil"/>
                    <w:tr2bl w:val="nil"/>
                  </w:tcBorders>
                  <w:vAlign w:val="center"/>
                </w:tcPr>
                <w:p w14:paraId="00D9532F">
                  <w:pPr>
                    <w:pStyle w:val="48"/>
                    <w:rPr>
                      <w:rFonts w:hint="eastAsia" w:eastAsia="宋体"/>
                      <w:color w:val="auto"/>
                      <w:highlight w:val="none"/>
                      <w:lang w:val="en-US" w:eastAsia="zh-CN"/>
                    </w:rPr>
                  </w:pPr>
                  <w:r>
                    <w:rPr>
                      <w:rFonts w:hint="eastAsia" w:ascii="Times New Roman" w:hAnsi="Times New Roman" w:eastAsia="宋体" w:cs="Times New Roman"/>
                      <w:color w:val="auto"/>
                      <w:highlight w:val="none"/>
                      <w:lang w:val="en-US" w:eastAsia="zh-CN"/>
                    </w:rPr>
                    <w:t>设置</w:t>
                  </w:r>
                  <w:r>
                    <w:rPr>
                      <w:rFonts w:hint="eastAsia" w:cs="Times New Roman"/>
                      <w:color w:val="auto"/>
                      <w:highlight w:val="none"/>
                      <w:lang w:val="en-US" w:eastAsia="zh-CN"/>
                    </w:rPr>
                    <w:t>0.5</w:t>
                  </w:r>
                  <w:r>
                    <w:rPr>
                      <w:rFonts w:hint="eastAsia" w:ascii="Times New Roman" w:hAnsi="Times New Roman" w:eastAsia="宋体" w:cs="Times New Roman"/>
                      <w:color w:val="auto"/>
                      <w:highlight w:val="none"/>
                    </w:rPr>
                    <w:t>m</w:t>
                  </w:r>
                  <w:r>
                    <w:rPr>
                      <w:rFonts w:hint="eastAsia" w:ascii="Times New Roman" w:hAnsi="Times New Roman" w:eastAsia="宋体" w:cs="Times New Roman"/>
                      <w:color w:val="auto"/>
                      <w:highlight w:val="none"/>
                      <w:vertAlign w:val="superscript"/>
                    </w:rPr>
                    <w:t>2</w:t>
                  </w:r>
                  <w:r>
                    <w:rPr>
                      <w:rFonts w:hint="eastAsia" w:ascii="Times New Roman" w:hAnsi="Times New Roman" w:eastAsia="宋体" w:cs="Times New Roman"/>
                      <w:color w:val="auto"/>
                      <w:highlight w:val="none"/>
                    </w:rPr>
                    <w:t>危废</w:t>
                  </w:r>
                  <w:r>
                    <w:rPr>
                      <w:rFonts w:hint="eastAsia" w:cs="Times New Roman"/>
                      <w:color w:val="auto"/>
                      <w:highlight w:val="none"/>
                      <w:lang w:val="en-US" w:eastAsia="zh-CN"/>
                    </w:rPr>
                    <w:t>贮存点</w:t>
                  </w:r>
                </w:p>
              </w:tc>
              <w:tc>
                <w:tcPr>
                  <w:tcW w:w="1022" w:type="pct"/>
                  <w:vMerge w:val="continue"/>
                  <w:tcBorders>
                    <w:tl2br w:val="nil"/>
                    <w:tr2bl w:val="nil"/>
                  </w:tcBorders>
                  <w:vAlign w:val="center"/>
                </w:tcPr>
                <w:p w14:paraId="071F7A9C">
                  <w:pPr>
                    <w:pStyle w:val="48"/>
                    <w:rPr>
                      <w:color w:val="auto"/>
                      <w:highlight w:val="none"/>
                    </w:rPr>
                  </w:pPr>
                </w:p>
              </w:tc>
              <w:tc>
                <w:tcPr>
                  <w:tcW w:w="417" w:type="pct"/>
                  <w:tcBorders>
                    <w:tl2br w:val="nil"/>
                    <w:tr2bl w:val="nil"/>
                  </w:tcBorders>
                  <w:vAlign w:val="center"/>
                </w:tcPr>
                <w:p w14:paraId="69B9F92E">
                  <w:pPr>
                    <w:pStyle w:val="48"/>
                    <w:rPr>
                      <w:rFonts w:hint="default" w:eastAsia="宋体"/>
                      <w:color w:val="auto"/>
                      <w:highlight w:val="none"/>
                      <w:lang w:val="en-US" w:eastAsia="zh-CN"/>
                    </w:rPr>
                  </w:pPr>
                  <w:r>
                    <w:rPr>
                      <w:rFonts w:hint="eastAsia"/>
                      <w:color w:val="auto"/>
                      <w:highlight w:val="none"/>
                      <w:lang w:val="en-US" w:eastAsia="zh-CN"/>
                    </w:rPr>
                    <w:t>1</w:t>
                  </w:r>
                </w:p>
              </w:tc>
              <w:tc>
                <w:tcPr>
                  <w:tcW w:w="412" w:type="pct"/>
                  <w:vMerge w:val="continue"/>
                  <w:tcBorders>
                    <w:tl2br w:val="nil"/>
                    <w:tr2bl w:val="nil"/>
                  </w:tcBorders>
                  <w:vAlign w:val="center"/>
                </w:tcPr>
                <w:p w14:paraId="18817E7E">
                  <w:pPr>
                    <w:pStyle w:val="48"/>
                    <w:rPr>
                      <w:color w:val="auto"/>
                      <w:highlight w:val="none"/>
                    </w:rPr>
                  </w:pPr>
                </w:p>
              </w:tc>
            </w:tr>
            <w:tr w14:paraId="52D69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495" w:type="pct"/>
                  <w:gridSpan w:val="2"/>
                  <w:tcBorders>
                    <w:tl2br w:val="nil"/>
                    <w:tr2bl w:val="nil"/>
                  </w:tcBorders>
                  <w:vAlign w:val="center"/>
                </w:tcPr>
                <w:p w14:paraId="7A90F9BE">
                  <w:pPr>
                    <w:pStyle w:val="48"/>
                    <w:rPr>
                      <w:color w:val="auto"/>
                      <w:highlight w:val="none"/>
                    </w:rPr>
                  </w:pPr>
                  <w:r>
                    <w:rPr>
                      <w:color w:val="auto"/>
                      <w:highlight w:val="none"/>
                    </w:rPr>
                    <w:t>风险</w:t>
                  </w:r>
                </w:p>
              </w:tc>
              <w:tc>
                <w:tcPr>
                  <w:tcW w:w="1255" w:type="pct"/>
                  <w:gridSpan w:val="2"/>
                  <w:tcBorders>
                    <w:tl2br w:val="nil"/>
                    <w:tr2bl w:val="nil"/>
                  </w:tcBorders>
                  <w:vAlign w:val="center"/>
                </w:tcPr>
                <w:p w14:paraId="022BBC2F">
                  <w:pPr>
                    <w:pStyle w:val="48"/>
                    <w:ind w:firstLine="0" w:firstLineChars="0"/>
                    <w:rPr>
                      <w:color w:val="auto"/>
                      <w:highlight w:val="none"/>
                    </w:rPr>
                  </w:pPr>
                  <w:r>
                    <w:rPr>
                      <w:color w:val="auto"/>
                      <w:highlight w:val="none"/>
                    </w:rPr>
                    <w:t>风险事故</w:t>
                  </w:r>
                </w:p>
              </w:tc>
              <w:tc>
                <w:tcPr>
                  <w:tcW w:w="2418" w:type="pct"/>
                  <w:gridSpan w:val="2"/>
                  <w:tcBorders>
                    <w:tl2br w:val="nil"/>
                    <w:tr2bl w:val="nil"/>
                  </w:tcBorders>
                  <w:vAlign w:val="center"/>
                </w:tcPr>
                <w:p w14:paraId="3670A13A">
                  <w:pPr>
                    <w:pStyle w:val="48"/>
                    <w:bidi w:val="0"/>
                    <w:rPr>
                      <w:color w:val="auto"/>
                      <w:highlight w:val="none"/>
                    </w:rPr>
                  </w:pPr>
                  <w:r>
                    <w:rPr>
                      <w:rFonts w:hint="eastAsia"/>
                      <w:color w:val="auto"/>
                      <w:highlight w:val="none"/>
                      <w:lang w:val="en-US" w:eastAsia="zh-CN"/>
                    </w:rPr>
                    <w:t>编制</w:t>
                  </w:r>
                  <w:r>
                    <w:rPr>
                      <w:color w:val="auto"/>
                      <w:highlight w:val="none"/>
                    </w:rPr>
                    <w:t>环境风险应急预案；</w:t>
                  </w:r>
                  <w:r>
                    <w:rPr>
                      <w:rFonts w:hint="eastAsia"/>
                      <w:color w:val="auto"/>
                      <w:highlight w:val="none"/>
                      <w:lang w:val="en-US" w:eastAsia="zh-CN"/>
                    </w:rPr>
                    <w:t>设置</w:t>
                  </w:r>
                  <w:r>
                    <w:rPr>
                      <w:rFonts w:hint="eastAsia"/>
                      <w:color w:val="auto"/>
                      <w:highlight w:val="none"/>
                    </w:rPr>
                    <w:t>风险防控措施</w:t>
                  </w:r>
                  <w:r>
                    <w:rPr>
                      <w:rFonts w:hint="eastAsia"/>
                      <w:color w:val="auto"/>
                      <w:highlight w:val="none"/>
                      <w:lang w:eastAsia="zh-CN"/>
                    </w:rPr>
                    <w:t>；</w:t>
                  </w:r>
                  <w:r>
                    <w:rPr>
                      <w:rFonts w:hint="eastAsia"/>
                      <w:color w:val="auto"/>
                      <w:highlight w:val="none"/>
                      <w:lang w:val="en-US" w:eastAsia="zh-CN"/>
                    </w:rPr>
                    <w:t>企业新增160m</w:t>
                  </w:r>
                  <w:r>
                    <w:rPr>
                      <w:rFonts w:hint="eastAsia"/>
                      <w:color w:val="auto"/>
                      <w:highlight w:val="none"/>
                      <w:vertAlign w:val="superscript"/>
                      <w:lang w:val="en-US" w:eastAsia="zh-CN"/>
                    </w:rPr>
                    <w:t>3</w:t>
                  </w:r>
                  <w:r>
                    <w:rPr>
                      <w:rFonts w:hint="eastAsia"/>
                      <w:color w:val="auto"/>
                      <w:highlight w:val="none"/>
                      <w:lang w:val="en-US" w:eastAsia="zh-CN"/>
                    </w:rPr>
                    <w:t>应急水囊与堵水气囊</w:t>
                  </w:r>
                </w:p>
              </w:tc>
              <w:tc>
                <w:tcPr>
                  <w:tcW w:w="417" w:type="pct"/>
                  <w:tcBorders>
                    <w:tl2br w:val="nil"/>
                    <w:tr2bl w:val="nil"/>
                  </w:tcBorders>
                  <w:vAlign w:val="center"/>
                </w:tcPr>
                <w:p w14:paraId="02A16214">
                  <w:pPr>
                    <w:pStyle w:val="48"/>
                    <w:rPr>
                      <w:rFonts w:hint="default" w:eastAsia="宋体"/>
                      <w:color w:val="auto"/>
                      <w:highlight w:val="none"/>
                      <w:lang w:val="en-US" w:eastAsia="zh-CN"/>
                    </w:rPr>
                  </w:pPr>
                  <w:r>
                    <w:rPr>
                      <w:rFonts w:hint="eastAsia"/>
                      <w:color w:val="auto"/>
                      <w:highlight w:val="none"/>
                      <w:lang w:val="en-US" w:eastAsia="zh-CN"/>
                    </w:rPr>
                    <w:t>1</w:t>
                  </w:r>
                </w:p>
              </w:tc>
              <w:tc>
                <w:tcPr>
                  <w:tcW w:w="412" w:type="pct"/>
                  <w:vMerge w:val="continue"/>
                  <w:tcBorders>
                    <w:tl2br w:val="nil"/>
                    <w:tr2bl w:val="nil"/>
                  </w:tcBorders>
                  <w:vAlign w:val="center"/>
                </w:tcPr>
                <w:p w14:paraId="2B6082EB">
                  <w:pPr>
                    <w:pStyle w:val="48"/>
                    <w:rPr>
                      <w:color w:val="auto"/>
                      <w:highlight w:val="none"/>
                    </w:rPr>
                  </w:pPr>
                </w:p>
              </w:tc>
            </w:tr>
            <w:tr w14:paraId="2BBB2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495" w:type="pct"/>
                  <w:gridSpan w:val="2"/>
                  <w:tcBorders>
                    <w:tl2br w:val="nil"/>
                    <w:tr2bl w:val="nil"/>
                  </w:tcBorders>
                  <w:vAlign w:val="center"/>
                </w:tcPr>
                <w:p w14:paraId="374962BF">
                  <w:pPr>
                    <w:pStyle w:val="48"/>
                    <w:rPr>
                      <w:color w:val="auto"/>
                      <w:highlight w:val="none"/>
                    </w:rPr>
                  </w:pPr>
                  <w:r>
                    <w:rPr>
                      <w:rFonts w:hint="eastAsia"/>
                      <w:color w:val="auto"/>
                      <w:highlight w:val="none"/>
                    </w:rPr>
                    <w:t>雨</w:t>
                  </w:r>
                  <w:r>
                    <w:rPr>
                      <w:color w:val="auto"/>
                      <w:highlight w:val="none"/>
                    </w:rPr>
                    <w:t>污分流、排污口规范化设置</w:t>
                  </w:r>
                </w:p>
              </w:tc>
              <w:tc>
                <w:tcPr>
                  <w:tcW w:w="2651" w:type="pct"/>
                  <w:gridSpan w:val="3"/>
                  <w:tcBorders>
                    <w:tl2br w:val="nil"/>
                    <w:tr2bl w:val="nil"/>
                  </w:tcBorders>
                  <w:vAlign w:val="center"/>
                </w:tcPr>
                <w:p w14:paraId="658EFB12">
                  <w:pPr>
                    <w:pStyle w:val="48"/>
                    <w:rPr>
                      <w:color w:val="auto"/>
                      <w:highlight w:val="none"/>
                    </w:rPr>
                  </w:pPr>
                  <w:r>
                    <w:rPr>
                      <w:color w:val="auto"/>
                      <w:highlight w:val="none"/>
                    </w:rPr>
                    <w:t>规范化接管口</w:t>
                  </w:r>
                </w:p>
              </w:tc>
              <w:tc>
                <w:tcPr>
                  <w:tcW w:w="1022" w:type="pct"/>
                  <w:tcBorders>
                    <w:tl2br w:val="nil"/>
                    <w:tr2bl w:val="nil"/>
                  </w:tcBorders>
                  <w:vAlign w:val="center"/>
                </w:tcPr>
                <w:p w14:paraId="48FB0110">
                  <w:pPr>
                    <w:pStyle w:val="48"/>
                    <w:rPr>
                      <w:color w:val="auto"/>
                      <w:highlight w:val="none"/>
                    </w:rPr>
                  </w:pPr>
                  <w:r>
                    <w:rPr>
                      <w:color w:val="auto"/>
                      <w:highlight w:val="none"/>
                    </w:rPr>
                    <w:t>满足《江苏省排污口设置及规范化整治管理办法》的要求</w:t>
                  </w:r>
                </w:p>
              </w:tc>
              <w:tc>
                <w:tcPr>
                  <w:tcW w:w="417" w:type="pct"/>
                  <w:tcBorders>
                    <w:tl2br w:val="nil"/>
                    <w:tr2bl w:val="nil"/>
                  </w:tcBorders>
                  <w:vAlign w:val="center"/>
                </w:tcPr>
                <w:p w14:paraId="12E4BB51">
                  <w:pPr>
                    <w:pStyle w:val="48"/>
                    <w:rPr>
                      <w:color w:val="auto"/>
                      <w:highlight w:val="none"/>
                    </w:rPr>
                  </w:pPr>
                  <w:r>
                    <w:rPr>
                      <w:color w:val="auto"/>
                      <w:highlight w:val="none"/>
                    </w:rPr>
                    <w:t>依托</w:t>
                  </w:r>
                  <w:r>
                    <w:rPr>
                      <w:rFonts w:hint="eastAsia"/>
                      <w:color w:val="auto"/>
                      <w:highlight w:val="none"/>
                      <w:lang w:val="en-US" w:eastAsia="zh-CN"/>
                    </w:rPr>
                    <w:t>园区</w:t>
                  </w:r>
                  <w:r>
                    <w:rPr>
                      <w:color w:val="auto"/>
                      <w:highlight w:val="none"/>
                    </w:rPr>
                    <w:t>现有</w:t>
                  </w:r>
                </w:p>
              </w:tc>
              <w:tc>
                <w:tcPr>
                  <w:tcW w:w="412" w:type="pct"/>
                  <w:vMerge w:val="continue"/>
                  <w:tcBorders>
                    <w:tl2br w:val="nil"/>
                    <w:tr2bl w:val="nil"/>
                  </w:tcBorders>
                  <w:vAlign w:val="center"/>
                </w:tcPr>
                <w:p w14:paraId="2A2DCA48">
                  <w:pPr>
                    <w:pStyle w:val="48"/>
                    <w:rPr>
                      <w:color w:val="auto"/>
                      <w:highlight w:val="none"/>
                    </w:rPr>
                  </w:pPr>
                </w:p>
              </w:tc>
            </w:tr>
            <w:tr w14:paraId="572C02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495" w:type="pct"/>
                  <w:gridSpan w:val="2"/>
                  <w:tcBorders>
                    <w:tl2br w:val="nil"/>
                    <w:tr2bl w:val="nil"/>
                  </w:tcBorders>
                  <w:vAlign w:val="center"/>
                </w:tcPr>
                <w:p w14:paraId="2B6CA78E">
                  <w:pPr>
                    <w:pStyle w:val="48"/>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“以新带老”措施</w:t>
                  </w:r>
                </w:p>
              </w:tc>
              <w:tc>
                <w:tcPr>
                  <w:tcW w:w="4091" w:type="pct"/>
                  <w:gridSpan w:val="5"/>
                  <w:tcBorders>
                    <w:tl2br w:val="nil"/>
                    <w:tr2bl w:val="nil"/>
                  </w:tcBorders>
                  <w:vAlign w:val="center"/>
                </w:tcPr>
                <w:p w14:paraId="17467674">
                  <w:pPr>
                    <w:pStyle w:val="48"/>
                    <w:ind w:firstLine="420" w:firstLineChars="200"/>
                    <w:jc w:val="left"/>
                    <w:rPr>
                      <w:rFonts w:hint="eastAsia" w:ascii="Times New Roman" w:hAnsi="Times New Roman" w:eastAsia="宋体" w:cs="Times New Roman"/>
                      <w:color w:val="auto"/>
                      <w:highlight w:val="none"/>
                      <w:lang w:val="en-US" w:eastAsia="zh-CN"/>
                    </w:rPr>
                  </w:pPr>
                  <w:r>
                    <w:rPr>
                      <w:rFonts w:hint="eastAsia"/>
                      <w:color w:val="auto"/>
                      <w:highlight w:val="none"/>
                      <w:lang w:val="en-US" w:eastAsia="zh-CN"/>
                    </w:rPr>
                    <w:t>/</w:t>
                  </w:r>
                </w:p>
              </w:tc>
              <w:tc>
                <w:tcPr>
                  <w:tcW w:w="412" w:type="pct"/>
                  <w:vMerge w:val="restart"/>
                  <w:tcBorders>
                    <w:tl2br w:val="nil"/>
                    <w:tr2bl w:val="nil"/>
                  </w:tcBorders>
                  <w:vAlign w:val="center"/>
                </w:tcPr>
                <w:p w14:paraId="21B2147B">
                  <w:pPr>
                    <w:pStyle w:val="48"/>
                    <w:rPr>
                      <w:rFonts w:hint="eastAsia" w:eastAsia="宋体"/>
                      <w:color w:val="auto"/>
                      <w:highlight w:val="none"/>
                      <w:lang w:val="en-US" w:eastAsia="zh-CN"/>
                    </w:rPr>
                  </w:pPr>
                  <w:r>
                    <w:rPr>
                      <w:rFonts w:hint="eastAsia"/>
                      <w:color w:val="auto"/>
                      <w:highlight w:val="none"/>
                      <w:lang w:val="en-US" w:eastAsia="zh-CN"/>
                    </w:rPr>
                    <w:t>-</w:t>
                  </w:r>
                </w:p>
              </w:tc>
            </w:tr>
            <w:tr w14:paraId="00F87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495" w:type="pct"/>
                  <w:gridSpan w:val="2"/>
                  <w:tcBorders>
                    <w:tl2br w:val="nil"/>
                    <w:tr2bl w:val="nil"/>
                  </w:tcBorders>
                  <w:shd w:val="clear" w:color="auto" w:fill="auto"/>
                  <w:vAlign w:val="center"/>
                </w:tcPr>
                <w:p w14:paraId="2F497868">
                  <w:pPr>
                    <w:pStyle w:val="48"/>
                    <w:ind w:firstLine="0" w:firstLineChars="0"/>
                    <w:jc w:val="center"/>
                    <w:rPr>
                      <w:rFonts w:hint="eastAsia" w:ascii="Times New Roman" w:hAnsi="Times New Roman" w:eastAsia="宋体" w:cs="Times New Roman"/>
                      <w:color w:val="auto"/>
                      <w:kern w:val="0"/>
                      <w:sz w:val="21"/>
                      <w:szCs w:val="24"/>
                      <w:highlight w:val="none"/>
                      <w:lang w:val="en-US" w:eastAsia="zh-CN" w:bidi="ar-SA"/>
                    </w:rPr>
                  </w:pPr>
                  <w:r>
                    <w:rPr>
                      <w:color w:val="auto"/>
                      <w:highlight w:val="none"/>
                    </w:rPr>
                    <w:t>总量平衡具体方案</w:t>
                  </w:r>
                </w:p>
              </w:tc>
              <w:tc>
                <w:tcPr>
                  <w:tcW w:w="4091" w:type="pct"/>
                  <w:gridSpan w:val="5"/>
                  <w:tcBorders>
                    <w:tl2br w:val="nil"/>
                    <w:tr2bl w:val="nil"/>
                  </w:tcBorders>
                  <w:shd w:val="clear" w:color="auto" w:fill="auto"/>
                  <w:vAlign w:val="center"/>
                </w:tcPr>
                <w:p w14:paraId="20ADF9F3">
                  <w:pPr>
                    <w:pStyle w:val="48"/>
                    <w:ind w:firstLine="420" w:firstLineChars="200"/>
                    <w:jc w:val="left"/>
                    <w:rPr>
                      <w:rFonts w:hint="eastAsia" w:ascii="Times New Roman" w:hAnsi="Times New Roman" w:eastAsia="宋体" w:cs="Times New Roman"/>
                      <w:color w:val="auto"/>
                      <w:highlight w:val="none"/>
                    </w:rPr>
                  </w:pPr>
                  <w:r>
                    <w:rPr>
                      <w:rFonts w:hint="eastAsia"/>
                      <w:b w:val="0"/>
                      <w:bCs w:val="0"/>
                      <w:color w:val="auto"/>
                      <w:highlight w:val="none"/>
                    </w:rPr>
                    <w:t>本项目建成后</w:t>
                  </w:r>
                  <w:r>
                    <w:rPr>
                      <w:b w:val="0"/>
                      <w:bCs w:val="0"/>
                      <w:color w:val="auto"/>
                      <w:highlight w:val="none"/>
                    </w:rPr>
                    <w:t>总量控制因子</w:t>
                  </w:r>
                  <w:r>
                    <w:rPr>
                      <w:rFonts w:hint="eastAsia"/>
                      <w:b w:val="0"/>
                      <w:bCs w:val="0"/>
                      <w:color w:val="auto"/>
                      <w:highlight w:val="none"/>
                      <w:lang w:val="zh-CN"/>
                    </w:rPr>
                    <w:t>新增</w:t>
                  </w:r>
                  <w:r>
                    <w:rPr>
                      <w:rFonts w:hint="eastAsia"/>
                      <w:b w:val="0"/>
                      <w:bCs w:val="0"/>
                      <w:color w:val="auto"/>
                      <w:highlight w:val="none"/>
                      <w:lang w:val="en-US" w:eastAsia="zh-CN"/>
                    </w:rPr>
                    <w:t>废气非甲烷总烃0.0026t/a、颗粒物0.0188t/a</w:t>
                  </w:r>
                  <w:r>
                    <w:rPr>
                      <w:rFonts w:hint="eastAsia"/>
                      <w:b w:val="0"/>
                      <w:bCs w:val="0"/>
                      <w:color w:val="auto"/>
                      <w:highlight w:val="none"/>
                    </w:rPr>
                    <w:t>。废</w:t>
                  </w:r>
                  <w:r>
                    <w:rPr>
                      <w:rFonts w:hint="eastAsia"/>
                      <w:b w:val="0"/>
                      <w:bCs w:val="0"/>
                      <w:color w:val="auto"/>
                      <w:highlight w:val="none"/>
                    </w:rPr>
                    <w:t>气污染物由江宁区大气减排项目平衡。</w:t>
                  </w:r>
                </w:p>
                <w:p w14:paraId="606BD013">
                  <w:pPr>
                    <w:pStyle w:val="48"/>
                    <w:ind w:firstLine="420" w:firstLineChars="200"/>
                    <w:jc w:val="left"/>
                    <w:rPr>
                      <w:rFonts w:hint="eastAsia" w:ascii="Times New Roman" w:hAnsi="Times New Roman" w:eastAsia="宋体" w:cs="Times New Roman"/>
                      <w:color w:val="auto"/>
                      <w:highlight w:val="none"/>
                      <w:lang w:val="zh-CN"/>
                    </w:rPr>
                  </w:pPr>
                  <w:bookmarkStart w:id="204" w:name="sys2641069"/>
                  <w:r>
                    <w:rPr>
                      <w:rFonts w:hint="eastAsia" w:ascii="Times New Roman" w:hAnsi="Times New Roman" w:eastAsia="宋体" w:cs="Times New Roman"/>
                      <w:color w:val="auto"/>
                      <w:highlight w:val="none"/>
                      <w:lang w:val="zh-CN"/>
                    </w:rPr>
                    <w:t>本项目建成后新增废水排放量</w:t>
                  </w:r>
                  <w:r>
                    <w:rPr>
                      <w:rFonts w:hint="eastAsia" w:cs="Times New Roman"/>
                      <w:color w:val="auto"/>
                      <w:highlight w:val="none"/>
                      <w:lang w:val="en-US" w:eastAsia="zh-CN"/>
                    </w:rPr>
                    <w:t>50</w:t>
                  </w:r>
                  <w:r>
                    <w:rPr>
                      <w:rFonts w:hint="eastAsia"/>
                      <w:b w:val="0"/>
                      <w:bCs w:val="0"/>
                      <w:color w:val="auto"/>
                      <w:highlight w:val="none"/>
                      <w:lang w:val="en-US" w:eastAsia="zh-CN"/>
                    </w:rPr>
                    <w:t>t</w:t>
                  </w:r>
                  <w:r>
                    <w:rPr>
                      <w:rFonts w:hint="eastAsia"/>
                      <w:b w:val="0"/>
                      <w:bCs w:val="0"/>
                      <w:color w:val="auto"/>
                      <w:highlight w:val="none"/>
                      <w:lang w:val="zh-CN"/>
                    </w:rPr>
                    <w:t>/a，新增COD</w:t>
                  </w:r>
                  <w:r>
                    <w:rPr>
                      <w:rFonts w:hint="eastAsia"/>
                      <w:b w:val="0"/>
                      <w:bCs w:val="0"/>
                      <w:color w:val="auto"/>
                      <w:highlight w:val="none"/>
                    </w:rPr>
                    <w:t>外排</w:t>
                  </w:r>
                  <w:r>
                    <w:rPr>
                      <w:rFonts w:hint="eastAsia"/>
                      <w:b w:val="0"/>
                      <w:bCs w:val="0"/>
                      <w:color w:val="auto"/>
                      <w:highlight w:val="none"/>
                      <w:lang w:val="zh-CN"/>
                    </w:rPr>
                    <w:t>量</w:t>
                  </w:r>
                  <w:r>
                    <w:rPr>
                      <w:rFonts w:hint="eastAsia"/>
                      <w:color w:val="auto"/>
                      <w:highlight w:val="none"/>
                      <w:lang w:val="en-US" w:eastAsia="zh-CN"/>
                    </w:rPr>
                    <w:t>0.0025</w:t>
                  </w:r>
                  <w:r>
                    <w:rPr>
                      <w:rFonts w:hint="eastAsia"/>
                      <w:b w:val="0"/>
                      <w:bCs w:val="0"/>
                      <w:color w:val="auto"/>
                      <w:highlight w:val="none"/>
                      <w:lang w:val="zh-CN"/>
                    </w:rPr>
                    <w:t>t/a、</w:t>
                  </w:r>
                  <w:r>
                    <w:rPr>
                      <w:rFonts w:hint="eastAsia"/>
                      <w:b w:val="0"/>
                      <w:bCs w:val="0"/>
                      <w:color w:val="auto"/>
                      <w:highlight w:val="none"/>
                      <w:lang w:val="en-US" w:eastAsia="zh-CN"/>
                    </w:rPr>
                    <w:t>氨氮</w:t>
                  </w:r>
                  <w:r>
                    <w:rPr>
                      <w:rFonts w:hint="eastAsia"/>
                      <w:b w:val="0"/>
                      <w:bCs w:val="0"/>
                      <w:color w:val="auto"/>
                      <w:highlight w:val="none"/>
                    </w:rPr>
                    <w:t>外排</w:t>
                  </w:r>
                  <w:r>
                    <w:rPr>
                      <w:rFonts w:hint="eastAsia"/>
                      <w:b w:val="0"/>
                      <w:bCs w:val="0"/>
                      <w:color w:val="auto"/>
                      <w:highlight w:val="none"/>
                      <w:lang w:val="zh-CN"/>
                    </w:rPr>
                    <w:t>量</w:t>
                  </w:r>
                  <w:r>
                    <w:rPr>
                      <w:rFonts w:hint="eastAsia"/>
                      <w:color w:val="auto"/>
                      <w:highlight w:val="none"/>
                      <w:lang w:val="en-US" w:eastAsia="zh-CN"/>
                    </w:rPr>
                    <w:t>0.0003</w:t>
                  </w:r>
                  <w:r>
                    <w:rPr>
                      <w:rFonts w:hint="eastAsia"/>
                      <w:b w:val="0"/>
                      <w:bCs w:val="0"/>
                      <w:color w:val="auto"/>
                      <w:highlight w:val="none"/>
                      <w:lang w:val="zh-CN"/>
                    </w:rPr>
                    <w:t>t/a，</w:t>
                  </w:r>
                  <w:r>
                    <w:rPr>
                      <w:rFonts w:hint="eastAsia" w:ascii="Times New Roman" w:hAnsi="Times New Roman" w:eastAsia="宋体" w:cs="Times New Roman"/>
                      <w:color w:val="auto"/>
                      <w:highlight w:val="none"/>
                      <w:lang w:val="zh-CN"/>
                    </w:rPr>
                    <w:t>废水污染物由江宁区水减排项目平衡。</w:t>
                  </w:r>
                  <w:bookmarkEnd w:id="204"/>
                </w:p>
                <w:p w14:paraId="57F346C8">
                  <w:pPr>
                    <w:pStyle w:val="48"/>
                    <w:ind w:firstLine="420" w:firstLineChars="200"/>
                    <w:jc w:val="left"/>
                    <w:rPr>
                      <w:rFonts w:hint="eastAsia"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color w:val="auto"/>
                      <w:highlight w:val="none"/>
                    </w:rPr>
                    <w:t>固体废物分类收集，妥善暂存，合理处置，无需申请总量。</w:t>
                  </w:r>
                </w:p>
              </w:tc>
              <w:tc>
                <w:tcPr>
                  <w:tcW w:w="412" w:type="pct"/>
                  <w:vMerge w:val="continue"/>
                  <w:tcBorders>
                    <w:tl2br w:val="nil"/>
                    <w:tr2bl w:val="nil"/>
                  </w:tcBorders>
                  <w:vAlign w:val="center"/>
                </w:tcPr>
                <w:p w14:paraId="2539F4E1">
                  <w:pPr>
                    <w:pStyle w:val="48"/>
                    <w:rPr>
                      <w:rFonts w:hint="eastAsia"/>
                      <w:color w:val="auto"/>
                      <w:highlight w:val="none"/>
                      <w:lang w:val="en-US" w:eastAsia="zh-CN"/>
                    </w:rPr>
                  </w:pPr>
                </w:p>
              </w:tc>
            </w:tr>
            <w:tr w14:paraId="5D56B2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69" w:type="pct"/>
                  <w:gridSpan w:val="6"/>
                  <w:tcBorders>
                    <w:tl2br w:val="nil"/>
                    <w:tr2bl w:val="nil"/>
                  </w:tcBorders>
                  <w:vAlign w:val="center"/>
                </w:tcPr>
                <w:p w14:paraId="012B8839">
                  <w:pPr>
                    <w:pStyle w:val="48"/>
                    <w:rPr>
                      <w:rFonts w:hint="eastAsia" w:eastAsia="宋体"/>
                      <w:color w:val="auto"/>
                      <w:highlight w:val="none"/>
                      <w:lang w:eastAsia="zh-CN"/>
                    </w:rPr>
                  </w:pPr>
                  <w:r>
                    <w:rPr>
                      <w:rFonts w:hint="eastAsia"/>
                      <w:color w:val="auto"/>
                      <w:highlight w:val="none"/>
                      <w:lang w:val="en-US" w:eastAsia="zh-CN"/>
                    </w:rPr>
                    <w:t>合计</w:t>
                  </w:r>
                </w:p>
              </w:tc>
              <w:tc>
                <w:tcPr>
                  <w:tcW w:w="417" w:type="pct"/>
                  <w:tcBorders>
                    <w:tl2br w:val="nil"/>
                    <w:tr2bl w:val="nil"/>
                  </w:tcBorders>
                  <w:vAlign w:val="center"/>
                </w:tcPr>
                <w:p w14:paraId="5AAE6A40">
                  <w:pPr>
                    <w:pStyle w:val="48"/>
                    <w:rPr>
                      <w:rFonts w:hint="default" w:eastAsia="宋体"/>
                      <w:color w:val="auto"/>
                      <w:highlight w:val="none"/>
                      <w:lang w:val="en-US" w:eastAsia="zh-CN"/>
                    </w:rPr>
                  </w:pPr>
                  <w:r>
                    <w:rPr>
                      <w:rFonts w:hint="eastAsia"/>
                      <w:color w:val="auto"/>
                      <w:highlight w:val="none"/>
                      <w:lang w:val="en-US" w:eastAsia="zh-CN"/>
                    </w:rPr>
                    <w:t>3</w:t>
                  </w:r>
                </w:p>
              </w:tc>
              <w:tc>
                <w:tcPr>
                  <w:tcW w:w="412" w:type="pct"/>
                  <w:vMerge w:val="continue"/>
                  <w:tcBorders>
                    <w:tl2br w:val="nil"/>
                    <w:tr2bl w:val="nil"/>
                  </w:tcBorders>
                  <w:vAlign w:val="center"/>
                </w:tcPr>
                <w:p w14:paraId="487AAE8A">
                  <w:pPr>
                    <w:pStyle w:val="48"/>
                    <w:rPr>
                      <w:color w:val="auto"/>
                      <w:highlight w:val="none"/>
                    </w:rPr>
                  </w:pPr>
                </w:p>
              </w:tc>
            </w:tr>
          </w:tbl>
          <w:p w14:paraId="30E679D6">
            <w:pPr>
              <w:ind w:firstLine="480"/>
              <w:rPr>
                <w:rFonts w:hint="eastAsia"/>
                <w:color w:val="auto"/>
                <w:highlight w:val="none"/>
                <w:lang w:val="zh-CN"/>
              </w:rPr>
            </w:pPr>
          </w:p>
        </w:tc>
      </w:tr>
    </w:tbl>
    <w:p w14:paraId="6A951450">
      <w:pPr>
        <w:adjustRightInd w:val="0"/>
        <w:snapToGrid w:val="0"/>
        <w:spacing w:line="360" w:lineRule="auto"/>
        <w:ind w:firstLine="562"/>
        <w:rPr>
          <w:b/>
          <w:color w:val="auto"/>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1F46BFB">
      <w:pPr>
        <w:pStyle w:val="29"/>
        <w:spacing w:before="0" w:beforeAutospacing="0" w:after="0" w:afterAutospacing="0" w:line="360" w:lineRule="auto"/>
        <w:ind w:firstLine="0" w:firstLineChars="0"/>
        <w:jc w:val="center"/>
        <w:outlineLvl w:val="0"/>
        <w:rPr>
          <w:rFonts w:hint="eastAsia" w:ascii="Times New Roman" w:hAnsi="Times New Roman" w:eastAsia="黑体"/>
          <w:snapToGrid w:val="0"/>
          <w:color w:val="auto"/>
          <w:sz w:val="30"/>
          <w:szCs w:val="30"/>
          <w:highlight w:val="none"/>
          <w:lang w:val="en-US" w:eastAsia="zh-CN"/>
        </w:rPr>
      </w:pPr>
      <w:bookmarkStart w:id="205" w:name="_Toc24209"/>
      <w:r>
        <w:rPr>
          <w:rFonts w:hint="default" w:ascii="Times New Roman" w:hAnsi="Times New Roman" w:eastAsia="黑体"/>
          <w:snapToGrid w:val="0"/>
          <w:color w:val="auto"/>
          <w:sz w:val="30"/>
          <w:szCs w:val="30"/>
          <w:highlight w:val="none"/>
          <w:lang w:val="en-US" w:eastAsia="zh-CN"/>
        </w:rPr>
        <w:t>五、</w:t>
      </w:r>
      <w:bookmarkStart w:id="206" w:name="_Hlk54167917"/>
      <w:r>
        <w:rPr>
          <w:rFonts w:hint="default" w:ascii="Times New Roman" w:hAnsi="Times New Roman" w:eastAsia="黑体"/>
          <w:snapToGrid w:val="0"/>
          <w:color w:val="auto"/>
          <w:sz w:val="30"/>
          <w:szCs w:val="30"/>
          <w:highlight w:val="none"/>
          <w:lang w:val="en-US" w:eastAsia="zh-CN"/>
        </w:rPr>
        <w:t>环境保护措施监督检查清单</w:t>
      </w:r>
      <w:bookmarkEnd w:id="205"/>
      <w:bookmarkEnd w:id="206"/>
      <w:bookmarkStart w:id="207" w:name="pindex2649"/>
      <w:bookmarkEnd w:id="207"/>
    </w:p>
    <w:tbl>
      <w:tblPr>
        <w:tblStyle w:val="33"/>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83"/>
        <w:gridCol w:w="414"/>
        <w:gridCol w:w="876"/>
        <w:gridCol w:w="1440"/>
        <w:gridCol w:w="1433"/>
        <w:gridCol w:w="1926"/>
        <w:gridCol w:w="2128"/>
      </w:tblGrid>
      <w:tr w14:paraId="60289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73" w:type="dxa"/>
            <w:gridSpan w:val="3"/>
            <w:tcBorders>
              <w:tl2br w:val="single" w:color="auto" w:sz="4" w:space="0"/>
            </w:tcBorders>
          </w:tcPr>
          <w:p w14:paraId="3B1735D2">
            <w:pPr>
              <w:adjustRightInd w:val="0"/>
              <w:snapToGrid w:val="0"/>
              <w:ind w:firstLine="723" w:firstLineChars="3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内容</w:t>
            </w:r>
          </w:p>
          <w:p w14:paraId="7B4D11D7">
            <w:pPr>
              <w:adjustRightInd w:val="0"/>
              <w:snapToGrid w:val="0"/>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要素</w:t>
            </w:r>
          </w:p>
        </w:tc>
        <w:tc>
          <w:tcPr>
            <w:tcW w:w="1440" w:type="dxa"/>
            <w:vAlign w:val="center"/>
          </w:tcPr>
          <w:p w14:paraId="56B25832">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排放口</w:t>
            </w:r>
            <w:r>
              <w:rPr>
                <w:rFonts w:hint="eastAsia"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编号、名称</w:t>
            </w:r>
            <w:r>
              <w:rPr>
                <w:rFonts w:hint="eastAsia"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/污染源</w:t>
            </w:r>
          </w:p>
        </w:tc>
        <w:tc>
          <w:tcPr>
            <w:tcW w:w="1433" w:type="dxa"/>
            <w:vAlign w:val="center"/>
          </w:tcPr>
          <w:p w14:paraId="12EE5002">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污染物项目</w:t>
            </w:r>
          </w:p>
        </w:tc>
        <w:tc>
          <w:tcPr>
            <w:tcW w:w="1926" w:type="dxa"/>
            <w:vAlign w:val="center"/>
          </w:tcPr>
          <w:p w14:paraId="5B800809">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环境保护措施</w:t>
            </w:r>
          </w:p>
        </w:tc>
        <w:tc>
          <w:tcPr>
            <w:tcW w:w="2128" w:type="dxa"/>
            <w:vAlign w:val="center"/>
          </w:tcPr>
          <w:p w14:paraId="59C11AA8">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执行标准</w:t>
            </w:r>
          </w:p>
        </w:tc>
      </w:tr>
      <w:tr w14:paraId="296D2D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583" w:type="dxa"/>
            <w:vMerge w:val="restart"/>
            <w:vAlign w:val="center"/>
          </w:tcPr>
          <w:p w14:paraId="4446D3D3">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大气环境</w:t>
            </w:r>
          </w:p>
        </w:tc>
        <w:tc>
          <w:tcPr>
            <w:tcW w:w="414" w:type="dxa"/>
            <w:vMerge w:val="restart"/>
            <w:vAlign w:val="center"/>
          </w:tcPr>
          <w:p w14:paraId="4B79B9D7">
            <w:pPr>
              <w:pStyle w:val="48"/>
              <w:tabs>
                <w:tab w:val="left" w:pos="0"/>
              </w:tabs>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无组织</w:t>
            </w:r>
          </w:p>
        </w:tc>
        <w:tc>
          <w:tcPr>
            <w:tcW w:w="876" w:type="dxa"/>
            <w:vMerge w:val="restart"/>
            <w:vAlign w:val="center"/>
          </w:tcPr>
          <w:p w14:paraId="69A78AD8">
            <w:pPr>
              <w:pStyle w:val="48"/>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宋体" w:cs="Times New Roman"/>
                <w:b w:val="0"/>
                <w:bCs w:val="0"/>
                <w:color w:val="auto"/>
                <w:sz w:val="24"/>
                <w:szCs w:val="24"/>
                <w:highlight w:val="none"/>
                <w:lang w:val="en-US"/>
              </w:rPr>
            </w:pPr>
            <w:r>
              <w:rPr>
                <w:rFonts w:hint="default" w:ascii="Times New Roman" w:hAnsi="Times New Roman" w:eastAsia="宋体" w:cs="Times New Roman"/>
                <w:color w:val="auto"/>
                <w:sz w:val="24"/>
                <w:szCs w:val="24"/>
                <w:highlight w:val="none"/>
              </w:rPr>
              <w:t>无组织厂界</w:t>
            </w:r>
          </w:p>
        </w:tc>
        <w:tc>
          <w:tcPr>
            <w:tcW w:w="1440" w:type="dxa"/>
            <w:shd w:val="clear" w:color="auto" w:fill="auto"/>
            <w:vAlign w:val="center"/>
          </w:tcPr>
          <w:p w14:paraId="61981255">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宋体" w:cs="Times New Roman"/>
                <w:b w:val="0"/>
                <w:bCs w:val="0"/>
                <w:color w:val="auto"/>
                <w:kern w:val="0"/>
                <w:sz w:val="24"/>
                <w:szCs w:val="24"/>
                <w:highlight w:val="none"/>
                <w:lang w:val="en-US" w:eastAsia="zh-CN" w:bidi="ar-SA"/>
              </w:rPr>
            </w:pPr>
            <w:r>
              <w:rPr>
                <w:rFonts w:hint="eastAsia" w:ascii="Times New Roman" w:hAnsi="Times New Roman" w:eastAsia="宋体" w:cs="Times New Roman"/>
                <w:b w:val="0"/>
                <w:bCs w:val="0"/>
                <w:color w:val="auto"/>
                <w:kern w:val="0"/>
                <w:sz w:val="24"/>
                <w:szCs w:val="24"/>
                <w:highlight w:val="none"/>
                <w:lang w:val="en-US" w:eastAsia="zh-CN" w:bidi="ar-SA"/>
              </w:rPr>
              <w:t>电池燃烧废气</w:t>
            </w:r>
          </w:p>
        </w:tc>
        <w:tc>
          <w:tcPr>
            <w:tcW w:w="1433" w:type="dxa"/>
            <w:vAlign w:val="center"/>
          </w:tcPr>
          <w:p w14:paraId="6A9757D7">
            <w:pPr>
              <w:pStyle w:val="48"/>
              <w:ind w:firstLine="0" w:firstLineChars="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非甲烷总烃</w:t>
            </w:r>
            <w:r>
              <w:rPr>
                <w:rFonts w:hint="eastAsia" w:ascii="Times New Roman" w:hAnsi="Times New Roman" w:eastAsia="宋体" w:cs="Times New Roman"/>
                <w:b w:val="0"/>
                <w:bCs w:val="0"/>
                <w:color w:val="auto"/>
                <w:sz w:val="24"/>
                <w:szCs w:val="24"/>
                <w:highlight w:val="none"/>
                <w:lang w:val="en-US" w:eastAsia="zh-CN"/>
              </w:rPr>
              <w:t>、氟化物、颗粒物</w:t>
            </w:r>
          </w:p>
        </w:tc>
        <w:tc>
          <w:tcPr>
            <w:tcW w:w="1926" w:type="dxa"/>
            <w:vAlign w:val="center"/>
          </w:tcPr>
          <w:p w14:paraId="7FBFC817">
            <w:pPr>
              <w:pStyle w:val="48"/>
              <w:bidi w:val="0"/>
              <w:ind w:firstLine="0" w:firstLineChars="0"/>
              <w:rPr>
                <w:rFonts w:hint="eastAsia"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w:t>
            </w:r>
          </w:p>
        </w:tc>
        <w:tc>
          <w:tcPr>
            <w:tcW w:w="2128" w:type="dxa"/>
            <w:vMerge w:val="restart"/>
            <w:vAlign w:val="center"/>
          </w:tcPr>
          <w:p w14:paraId="1FCFC03F">
            <w:pPr>
              <w:pStyle w:val="48"/>
              <w:tabs>
                <w:tab w:val="left" w:pos="0"/>
              </w:tabs>
              <w:jc w:val="center"/>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《大气污染物综合排放标准》（DB32/4041-2021）</w:t>
            </w:r>
          </w:p>
        </w:tc>
      </w:tr>
      <w:tr w14:paraId="57FC09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3" w:type="dxa"/>
            <w:vMerge w:val="continue"/>
            <w:vAlign w:val="center"/>
          </w:tcPr>
          <w:p w14:paraId="3EA395D5">
            <w:pPr>
              <w:pStyle w:val="48"/>
              <w:tabs>
                <w:tab w:val="left" w:pos="0"/>
              </w:tabs>
              <w:rPr>
                <w:rFonts w:hint="default" w:ascii="Times New Roman" w:hAnsi="Times New Roman" w:eastAsia="宋体" w:cs="Times New Roman"/>
                <w:b/>
                <w:bCs/>
                <w:color w:val="auto"/>
                <w:sz w:val="24"/>
                <w:szCs w:val="24"/>
                <w:highlight w:val="none"/>
              </w:rPr>
            </w:pPr>
          </w:p>
        </w:tc>
        <w:tc>
          <w:tcPr>
            <w:tcW w:w="414" w:type="dxa"/>
            <w:vMerge w:val="continue"/>
            <w:vAlign w:val="center"/>
          </w:tcPr>
          <w:p w14:paraId="435F5935">
            <w:pPr>
              <w:pStyle w:val="48"/>
              <w:tabs>
                <w:tab w:val="left" w:pos="0"/>
              </w:tabs>
              <w:rPr>
                <w:rFonts w:hint="default" w:ascii="Times New Roman" w:hAnsi="Times New Roman" w:eastAsia="宋体" w:cs="Times New Roman"/>
                <w:b/>
                <w:bCs/>
                <w:color w:val="auto"/>
                <w:sz w:val="24"/>
                <w:szCs w:val="24"/>
                <w:highlight w:val="none"/>
                <w:lang w:eastAsia="zh-CN"/>
              </w:rPr>
            </w:pPr>
          </w:p>
        </w:tc>
        <w:tc>
          <w:tcPr>
            <w:tcW w:w="876" w:type="dxa"/>
            <w:vMerge w:val="continue"/>
            <w:vAlign w:val="center"/>
          </w:tcPr>
          <w:p w14:paraId="11C19B7D">
            <w:pPr>
              <w:pStyle w:val="48"/>
              <w:tabs>
                <w:tab w:val="left" w:pos="0"/>
              </w:tabs>
              <w:ind w:firstLine="0" w:firstLineChars="0"/>
              <w:rPr>
                <w:rFonts w:hint="default" w:ascii="Times New Roman" w:hAnsi="Times New Roman" w:eastAsia="宋体" w:cs="Times New Roman"/>
                <w:b/>
                <w:bCs/>
                <w:color w:val="auto"/>
                <w:sz w:val="24"/>
                <w:szCs w:val="24"/>
                <w:highlight w:val="none"/>
              </w:rPr>
            </w:pPr>
          </w:p>
        </w:tc>
        <w:tc>
          <w:tcPr>
            <w:tcW w:w="1440" w:type="dxa"/>
            <w:shd w:val="clear" w:color="auto" w:fill="auto"/>
            <w:vAlign w:val="center"/>
          </w:tcPr>
          <w:p w14:paraId="6CDED293">
            <w:pPr>
              <w:pStyle w:val="8"/>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eastAsia" w:ascii="Times New Roman" w:hAnsi="Times New Roman" w:eastAsia="宋体" w:cs="Times New Roman"/>
                <w:b w:val="0"/>
                <w:bCs w:val="0"/>
                <w:color w:val="auto"/>
                <w:kern w:val="0"/>
                <w:sz w:val="24"/>
                <w:szCs w:val="24"/>
                <w:highlight w:val="none"/>
                <w:lang w:val="en-US" w:eastAsia="zh-CN" w:bidi="ar-SA"/>
              </w:rPr>
              <w:t>危废贮存废气</w:t>
            </w:r>
          </w:p>
        </w:tc>
        <w:tc>
          <w:tcPr>
            <w:tcW w:w="1433" w:type="dxa"/>
            <w:vAlign w:val="center"/>
          </w:tcPr>
          <w:p w14:paraId="52C8ED67">
            <w:pPr>
              <w:pStyle w:val="48"/>
              <w:ind w:firstLine="0" w:firstLineChars="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非甲烷总烃</w:t>
            </w:r>
          </w:p>
        </w:tc>
        <w:tc>
          <w:tcPr>
            <w:tcW w:w="1926" w:type="dxa"/>
            <w:vAlign w:val="center"/>
          </w:tcPr>
          <w:p w14:paraId="04006AEA">
            <w:pPr>
              <w:pStyle w:val="48"/>
              <w:ind w:firstLine="0" w:firstLineChars="0"/>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w:t>
            </w:r>
          </w:p>
        </w:tc>
        <w:tc>
          <w:tcPr>
            <w:tcW w:w="2128" w:type="dxa"/>
            <w:vMerge w:val="continue"/>
            <w:vAlign w:val="center"/>
          </w:tcPr>
          <w:p w14:paraId="746EC157">
            <w:pPr>
              <w:pStyle w:val="48"/>
              <w:tabs>
                <w:tab w:val="left" w:pos="0"/>
              </w:tabs>
              <w:rPr>
                <w:rFonts w:hint="default" w:ascii="Times New Roman" w:hAnsi="Times New Roman" w:eastAsia="宋体" w:cs="Times New Roman"/>
                <w:color w:val="auto"/>
                <w:sz w:val="24"/>
                <w:szCs w:val="24"/>
                <w:highlight w:val="none"/>
                <w:lang w:val="en-US" w:eastAsia="zh-CN"/>
              </w:rPr>
            </w:pPr>
          </w:p>
        </w:tc>
      </w:tr>
      <w:tr w14:paraId="3D8B41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83" w:type="dxa"/>
            <w:vMerge w:val="continue"/>
            <w:vAlign w:val="center"/>
          </w:tcPr>
          <w:p w14:paraId="4210AF34">
            <w:pPr>
              <w:pStyle w:val="48"/>
              <w:tabs>
                <w:tab w:val="left" w:pos="0"/>
              </w:tabs>
              <w:rPr>
                <w:rFonts w:hint="default" w:ascii="Times New Roman" w:hAnsi="Times New Roman" w:eastAsia="宋体" w:cs="Times New Roman"/>
                <w:b/>
                <w:bCs/>
                <w:color w:val="auto"/>
                <w:sz w:val="24"/>
                <w:szCs w:val="24"/>
                <w:highlight w:val="none"/>
              </w:rPr>
            </w:pPr>
          </w:p>
        </w:tc>
        <w:tc>
          <w:tcPr>
            <w:tcW w:w="414" w:type="dxa"/>
            <w:vMerge w:val="continue"/>
            <w:vAlign w:val="center"/>
          </w:tcPr>
          <w:p w14:paraId="4CBE0E7A">
            <w:pPr>
              <w:pStyle w:val="48"/>
              <w:tabs>
                <w:tab w:val="left" w:pos="0"/>
              </w:tabs>
              <w:rPr>
                <w:rFonts w:hint="default" w:ascii="Times New Roman" w:hAnsi="Times New Roman" w:eastAsia="宋体" w:cs="Times New Roman"/>
                <w:b/>
                <w:bCs/>
                <w:color w:val="auto"/>
                <w:sz w:val="24"/>
                <w:szCs w:val="24"/>
                <w:highlight w:val="none"/>
              </w:rPr>
            </w:pPr>
          </w:p>
        </w:tc>
        <w:tc>
          <w:tcPr>
            <w:tcW w:w="876" w:type="dxa"/>
            <w:vAlign w:val="center"/>
          </w:tcPr>
          <w:p w14:paraId="209F4588">
            <w:pPr>
              <w:pStyle w:val="48"/>
              <w:tabs>
                <w:tab w:val="left" w:pos="0"/>
              </w:tabs>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无组织</w:t>
            </w:r>
            <w:r>
              <w:rPr>
                <w:rFonts w:hint="default" w:ascii="Times New Roman" w:hAnsi="Times New Roman" w:eastAsia="宋体" w:cs="Times New Roman"/>
                <w:color w:val="auto"/>
                <w:sz w:val="24"/>
                <w:szCs w:val="24"/>
                <w:highlight w:val="none"/>
                <w:lang w:val="en-US" w:eastAsia="zh-CN"/>
              </w:rPr>
              <w:t>厂区内</w:t>
            </w:r>
          </w:p>
        </w:tc>
        <w:tc>
          <w:tcPr>
            <w:tcW w:w="1440" w:type="dxa"/>
            <w:vAlign w:val="center"/>
          </w:tcPr>
          <w:p w14:paraId="323E3144">
            <w:pPr>
              <w:pStyle w:val="48"/>
              <w:tabs>
                <w:tab w:val="left" w:pos="0"/>
              </w:tabs>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433" w:type="dxa"/>
            <w:vAlign w:val="center"/>
          </w:tcPr>
          <w:p w14:paraId="16F4DA78">
            <w:pPr>
              <w:pStyle w:val="48"/>
              <w:tabs>
                <w:tab w:val="left" w:pos="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非甲烷总烃</w:t>
            </w:r>
          </w:p>
        </w:tc>
        <w:tc>
          <w:tcPr>
            <w:tcW w:w="1926" w:type="dxa"/>
            <w:vAlign w:val="center"/>
          </w:tcPr>
          <w:p w14:paraId="4A6DDC20">
            <w:pPr>
              <w:pStyle w:val="48"/>
              <w:tabs>
                <w:tab w:val="left" w:pos="0"/>
              </w:tabs>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lang w:val="en-US" w:eastAsia="zh-CN"/>
              </w:rPr>
              <w:t>/</w:t>
            </w:r>
          </w:p>
        </w:tc>
        <w:tc>
          <w:tcPr>
            <w:tcW w:w="2128" w:type="dxa"/>
            <w:vMerge w:val="continue"/>
            <w:vAlign w:val="center"/>
          </w:tcPr>
          <w:p w14:paraId="73A289BE">
            <w:pPr>
              <w:pStyle w:val="48"/>
              <w:tabs>
                <w:tab w:val="left" w:pos="0"/>
              </w:tabs>
              <w:rPr>
                <w:rFonts w:hint="default" w:ascii="Times New Roman" w:hAnsi="Times New Roman" w:eastAsia="宋体" w:cs="Times New Roman"/>
                <w:color w:val="auto"/>
                <w:sz w:val="24"/>
                <w:szCs w:val="24"/>
                <w:highlight w:val="none"/>
              </w:rPr>
            </w:pPr>
          </w:p>
        </w:tc>
      </w:tr>
      <w:tr w14:paraId="60C18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873" w:type="dxa"/>
            <w:gridSpan w:val="3"/>
            <w:vAlign w:val="center"/>
          </w:tcPr>
          <w:p w14:paraId="225203A5">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地表水环境</w:t>
            </w:r>
          </w:p>
        </w:tc>
        <w:tc>
          <w:tcPr>
            <w:tcW w:w="1440" w:type="dxa"/>
            <w:vAlign w:val="center"/>
          </w:tcPr>
          <w:p w14:paraId="3F62A5E9">
            <w:pPr>
              <w:pStyle w:val="48"/>
              <w:tabs>
                <w:tab w:val="left" w:pos="0"/>
              </w:tabs>
              <w:ind w:firstLine="0" w:firstLineChars="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生活污水</w:t>
            </w:r>
          </w:p>
        </w:tc>
        <w:tc>
          <w:tcPr>
            <w:tcW w:w="1433" w:type="dxa"/>
            <w:vAlign w:val="center"/>
          </w:tcPr>
          <w:p w14:paraId="4683B4BC">
            <w:pPr>
              <w:pStyle w:val="48"/>
              <w:tabs>
                <w:tab w:val="left" w:pos="0"/>
              </w:tabs>
              <w:ind w:firstLine="0" w:firstLineChars="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COD、SS、氨氮、TP、TN</w:t>
            </w:r>
          </w:p>
        </w:tc>
        <w:tc>
          <w:tcPr>
            <w:tcW w:w="1926" w:type="dxa"/>
            <w:vAlign w:val="center"/>
          </w:tcPr>
          <w:p w14:paraId="45B96903">
            <w:pPr>
              <w:pStyle w:val="48"/>
              <w:tabs>
                <w:tab w:val="left" w:pos="0"/>
              </w:tabs>
              <w:ind w:firstLine="0" w:firstLineChars="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生活污水经化粪池处理</w:t>
            </w:r>
            <w:r>
              <w:rPr>
                <w:rFonts w:hint="eastAsia"/>
                <w:color w:val="auto"/>
                <w:sz w:val="24"/>
                <w:szCs w:val="24"/>
                <w:highlight w:val="none"/>
                <w:lang w:val="en-US" w:eastAsia="zh-CN"/>
              </w:rPr>
              <w:t>（依托园区现有）</w:t>
            </w:r>
          </w:p>
        </w:tc>
        <w:tc>
          <w:tcPr>
            <w:tcW w:w="2128" w:type="dxa"/>
            <w:vAlign w:val="center"/>
          </w:tcPr>
          <w:p w14:paraId="74FE7453">
            <w:pPr>
              <w:pStyle w:val="48"/>
              <w:tabs>
                <w:tab w:val="left" w:pos="0"/>
              </w:tabs>
              <w:rPr>
                <w:rFonts w:hint="eastAsia" w:ascii="Times New Roman" w:hAnsi="Times New Roman" w:eastAsia="宋体" w:cs="Times New Roman"/>
                <w:color w:val="auto"/>
                <w:sz w:val="24"/>
                <w:szCs w:val="24"/>
                <w:highlight w:val="none"/>
                <w:lang w:eastAsia="zh-CN"/>
              </w:rPr>
            </w:pPr>
            <w:bookmarkStart w:id="208" w:name="sys2681065"/>
            <w:r>
              <w:rPr>
                <w:rFonts w:hint="eastAsia"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污水综合排放标准》（GB8978-1996）表4</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bCs/>
                <w:color w:val="auto"/>
                <w:sz w:val="24"/>
                <w:szCs w:val="24"/>
                <w:highlight w:val="none"/>
              </w:rPr>
              <w:t>《污水排入城镇下水道水质标准》（GB/T31962-2015）表1中B等级标准</w:t>
            </w:r>
            <w:bookmarkEnd w:id="208"/>
          </w:p>
        </w:tc>
      </w:tr>
      <w:tr w14:paraId="0652B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73" w:type="dxa"/>
            <w:gridSpan w:val="3"/>
            <w:vAlign w:val="center"/>
          </w:tcPr>
          <w:p w14:paraId="7B17F364">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声环境</w:t>
            </w:r>
          </w:p>
        </w:tc>
        <w:tc>
          <w:tcPr>
            <w:tcW w:w="1440" w:type="dxa"/>
            <w:vAlign w:val="center"/>
          </w:tcPr>
          <w:p w14:paraId="60E12B7A">
            <w:pPr>
              <w:pStyle w:val="48"/>
              <w:tabs>
                <w:tab w:val="left" w:pos="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噪声</w:t>
            </w:r>
          </w:p>
        </w:tc>
        <w:tc>
          <w:tcPr>
            <w:tcW w:w="1433" w:type="dxa"/>
            <w:vAlign w:val="center"/>
          </w:tcPr>
          <w:p w14:paraId="394DD3BE">
            <w:pPr>
              <w:pStyle w:val="48"/>
              <w:tabs>
                <w:tab w:val="left" w:pos="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厂界四周噪声</w:t>
            </w:r>
          </w:p>
        </w:tc>
        <w:tc>
          <w:tcPr>
            <w:tcW w:w="1926" w:type="dxa"/>
            <w:vAlign w:val="center"/>
          </w:tcPr>
          <w:p w14:paraId="79C0F37E">
            <w:pPr>
              <w:pStyle w:val="48"/>
              <w:tabs>
                <w:tab w:val="left" w:pos="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减振隔声选用低噪声设备，合理布局，增加生产车间的密闭性等</w:t>
            </w:r>
          </w:p>
        </w:tc>
        <w:tc>
          <w:tcPr>
            <w:tcW w:w="2128" w:type="dxa"/>
            <w:vAlign w:val="center"/>
          </w:tcPr>
          <w:p w14:paraId="7A4A0FF2">
            <w:pPr>
              <w:pStyle w:val="48"/>
              <w:tabs>
                <w:tab w:val="left" w:pos="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《工业企业厂界环境噪声排放标准》（GB12348-2008）中的</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类标准</w:t>
            </w:r>
          </w:p>
        </w:tc>
      </w:tr>
      <w:tr w14:paraId="25561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3" w:type="dxa"/>
            <w:gridSpan w:val="3"/>
            <w:vAlign w:val="center"/>
          </w:tcPr>
          <w:p w14:paraId="2EFA03A1">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电磁辐射</w:t>
            </w:r>
          </w:p>
        </w:tc>
        <w:tc>
          <w:tcPr>
            <w:tcW w:w="6927" w:type="dxa"/>
            <w:gridSpan w:val="4"/>
            <w:vAlign w:val="center"/>
          </w:tcPr>
          <w:p w14:paraId="4869FE85">
            <w:pPr>
              <w:pStyle w:val="48"/>
              <w:tabs>
                <w:tab w:val="left" w:pos="0"/>
              </w:tabs>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w:t>
            </w:r>
          </w:p>
        </w:tc>
      </w:tr>
      <w:tr w14:paraId="20B21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3" w:type="dxa"/>
            <w:gridSpan w:val="3"/>
            <w:vAlign w:val="center"/>
          </w:tcPr>
          <w:p w14:paraId="72895945">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固体废物</w:t>
            </w:r>
          </w:p>
        </w:tc>
        <w:tc>
          <w:tcPr>
            <w:tcW w:w="6927" w:type="dxa"/>
            <w:gridSpan w:val="4"/>
            <w:vAlign w:val="center"/>
          </w:tcPr>
          <w:p w14:paraId="1A328F59">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项目所产生的固废均得到合理处置，</w:t>
            </w:r>
            <w:r>
              <w:rPr>
                <w:rFonts w:hint="eastAsia" w:cs="Times New Roman"/>
                <w:color w:val="auto"/>
                <w:sz w:val="24"/>
                <w:szCs w:val="24"/>
                <w:highlight w:val="none"/>
                <w:lang w:eastAsia="zh-CN"/>
              </w:rPr>
              <w:t>实现固</w:t>
            </w:r>
            <w:r>
              <w:rPr>
                <w:rFonts w:hint="default" w:ascii="Times New Roman" w:hAnsi="Times New Roman" w:eastAsia="宋体" w:cs="Times New Roman"/>
                <w:color w:val="auto"/>
                <w:sz w:val="24"/>
                <w:szCs w:val="24"/>
                <w:highlight w:val="none"/>
              </w:rPr>
              <w:t>废零排放，对周围环境影响较小。</w:t>
            </w:r>
          </w:p>
        </w:tc>
      </w:tr>
      <w:tr w14:paraId="4D20F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873" w:type="dxa"/>
            <w:gridSpan w:val="3"/>
            <w:vAlign w:val="center"/>
          </w:tcPr>
          <w:p w14:paraId="1DD4FC93">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土壤及地下水污染防治措施</w:t>
            </w:r>
          </w:p>
        </w:tc>
        <w:tc>
          <w:tcPr>
            <w:tcW w:w="6927" w:type="dxa"/>
            <w:gridSpan w:val="4"/>
            <w:vAlign w:val="center"/>
          </w:tcPr>
          <w:p w14:paraId="206A6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①</w:t>
            </w:r>
            <w:r>
              <w:rPr>
                <w:rFonts w:hint="default" w:ascii="Times New Roman" w:hAnsi="Times New Roman" w:cs="Times New Roman"/>
                <w:color w:val="auto"/>
                <w:sz w:val="24"/>
                <w:szCs w:val="24"/>
                <w:highlight w:val="none"/>
              </w:rPr>
              <w:t>源头控制</w:t>
            </w:r>
          </w:p>
          <w:p w14:paraId="3497C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cs="Times New Roman"/>
                <w:color w:val="auto"/>
                <w:sz w:val="24"/>
                <w:szCs w:val="24"/>
                <w:highlight w:val="none"/>
              </w:rPr>
            </w:pPr>
            <w:bookmarkStart w:id="209" w:name="sys2693060"/>
            <w:r>
              <w:rPr>
                <w:rFonts w:hint="default" w:ascii="Times New Roman" w:hAnsi="Times New Roman" w:cs="Times New Roman"/>
                <w:color w:val="auto"/>
                <w:sz w:val="24"/>
                <w:szCs w:val="24"/>
                <w:highlight w:val="none"/>
              </w:rPr>
              <w:t>加强</w:t>
            </w:r>
            <w:r>
              <w:rPr>
                <w:rFonts w:hint="default" w:ascii="Times New Roman" w:hAnsi="Times New Roman" w:cs="Times New Roman"/>
                <w:color w:val="auto"/>
                <w:sz w:val="24"/>
                <w:szCs w:val="24"/>
                <w:highlight w:val="none"/>
                <w:lang w:val="en-US" w:eastAsia="zh-CN"/>
              </w:rPr>
              <w:t>生产</w:t>
            </w:r>
            <w:r>
              <w:rPr>
                <w:rFonts w:hint="default" w:ascii="Times New Roman" w:hAnsi="Times New Roman" w:cs="Times New Roman"/>
                <w:color w:val="auto"/>
                <w:sz w:val="24"/>
                <w:szCs w:val="24"/>
                <w:highlight w:val="none"/>
              </w:rPr>
              <w:t>管理，严格原料取用、危险废物管理工作，制定原料取用制度、危险废物管理制度，避免原料、危险废物在厂内发生泄漏事故。</w:t>
            </w:r>
            <w:bookmarkEnd w:id="209"/>
          </w:p>
          <w:p w14:paraId="72203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②</w:t>
            </w:r>
            <w:r>
              <w:rPr>
                <w:rFonts w:hint="default" w:ascii="Times New Roman" w:hAnsi="Times New Roman" w:cs="Times New Roman"/>
                <w:color w:val="auto"/>
                <w:sz w:val="24"/>
                <w:szCs w:val="24"/>
                <w:highlight w:val="none"/>
              </w:rPr>
              <w:t>分区防渗</w:t>
            </w:r>
          </w:p>
          <w:p w14:paraId="1D9EF457">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bookmarkStart w:id="210" w:name="sys2695033"/>
            <w:r>
              <w:rPr>
                <w:rFonts w:hint="default" w:ascii="Times New Roman" w:hAnsi="Times New Roman" w:cs="Times New Roman"/>
                <w:color w:val="auto"/>
                <w:sz w:val="24"/>
                <w:szCs w:val="24"/>
                <w:highlight w:val="none"/>
              </w:rPr>
              <w:t>根据场地防污性能、污染控制难易程度和污染物特性对场地进行分区防渗。</w:t>
            </w:r>
            <w:bookmarkEnd w:id="210"/>
            <w:r>
              <w:rPr>
                <w:rFonts w:hint="eastAsia"/>
                <w:color w:val="auto"/>
                <w:sz w:val="24"/>
                <w:szCs w:val="24"/>
                <w:highlight w:val="none"/>
                <w:lang w:val="en-US" w:eastAsia="zh-CN"/>
              </w:rPr>
              <w:t>本项目不涉及土建施工，依托厂区内现有防渗措施。</w:t>
            </w:r>
          </w:p>
        </w:tc>
      </w:tr>
      <w:tr w14:paraId="7DDE5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3" w:type="dxa"/>
            <w:gridSpan w:val="3"/>
            <w:vAlign w:val="center"/>
          </w:tcPr>
          <w:p w14:paraId="03F9DC2A">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生态保护措施</w:t>
            </w:r>
          </w:p>
        </w:tc>
        <w:tc>
          <w:tcPr>
            <w:tcW w:w="6927" w:type="dxa"/>
            <w:gridSpan w:val="4"/>
            <w:vAlign w:val="center"/>
          </w:tcPr>
          <w:p w14:paraId="237FEE1B">
            <w:pPr>
              <w:pStyle w:val="48"/>
              <w:keepNext w:val="0"/>
              <w:keepLines w:val="0"/>
              <w:pageBreakBefore w:val="0"/>
              <w:widowControl w:val="0"/>
              <w:tabs>
                <w:tab w:val="left" w:pos="0"/>
              </w:tabs>
              <w:kinsoku/>
              <w:wordWrap/>
              <w:overflowPunct/>
              <w:topLinePunct w:val="0"/>
              <w:autoSpaceDE/>
              <w:autoSpaceDN/>
              <w:bidi w:val="0"/>
              <w:spacing w:line="24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w:t>
            </w:r>
          </w:p>
        </w:tc>
      </w:tr>
      <w:tr w14:paraId="75E187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3" w:type="dxa"/>
            <w:gridSpan w:val="3"/>
            <w:vAlign w:val="center"/>
          </w:tcPr>
          <w:p w14:paraId="56354390">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环境风险</w:t>
            </w:r>
          </w:p>
          <w:p w14:paraId="546DCA8C">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防范措施</w:t>
            </w:r>
          </w:p>
        </w:tc>
        <w:tc>
          <w:tcPr>
            <w:tcW w:w="6927" w:type="dxa"/>
            <w:gridSpan w:val="4"/>
            <w:vAlign w:val="center"/>
          </w:tcPr>
          <w:p w14:paraId="5A1342F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）强化安全生产及环境保护意识的教育，提高职工的素质，加强操作人员上岗前的培训，进行安全生产、消防、环保、工业卫生等方面的技术培训教育；定期检查安全消防设施的完好性，确保其处于</w:t>
            </w:r>
            <w:bookmarkStart w:id="211" w:name="bkReivew3812"/>
            <w:bookmarkEnd w:id="211"/>
            <w:r>
              <w:rPr>
                <w:rFonts w:hint="eastAsia" w:cs="Times New Roman"/>
                <w:color w:val="auto"/>
                <w:sz w:val="24"/>
                <w:szCs w:val="24"/>
                <w:highlight w:val="none"/>
                <w:lang w:eastAsia="zh-CN"/>
              </w:rPr>
              <w:t>可用状态，以备在事故发生时，能及时、高效地发挥作用。</w:t>
            </w:r>
          </w:p>
          <w:p w14:paraId="29324FF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eastAsia"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eastAsia="zh-CN"/>
              </w:rPr>
              <w:t>）危废</w:t>
            </w:r>
            <w:r>
              <w:rPr>
                <w:rFonts w:hint="eastAsia" w:cs="Times New Roman"/>
                <w:color w:val="auto"/>
                <w:sz w:val="24"/>
                <w:szCs w:val="24"/>
                <w:highlight w:val="none"/>
                <w:lang w:val="en-US" w:eastAsia="zh-CN"/>
              </w:rPr>
              <w:t>贮存设施</w:t>
            </w:r>
            <w:r>
              <w:rPr>
                <w:rFonts w:hint="eastAsia" w:cs="Times New Roman"/>
                <w:color w:val="auto"/>
                <w:sz w:val="24"/>
                <w:szCs w:val="24"/>
                <w:highlight w:val="none"/>
                <w:lang w:eastAsia="zh-CN"/>
              </w:rPr>
              <w:t>可根据产废情况，配备足够数量的防渗漏托盘，用于盛放危险废物。</w:t>
            </w:r>
          </w:p>
          <w:p w14:paraId="2391CF0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）泄漏物料采用密封桶装方式存储。企业</w:t>
            </w:r>
            <w:r>
              <w:rPr>
                <w:rFonts w:hint="eastAsia" w:cs="Times New Roman"/>
                <w:color w:val="auto"/>
                <w:sz w:val="24"/>
                <w:szCs w:val="24"/>
                <w:highlight w:val="none"/>
                <w:lang w:val="en-US" w:eastAsia="zh-CN"/>
              </w:rPr>
              <w:t>设置160</w:t>
            </w:r>
            <w:r>
              <w:rPr>
                <w:rFonts w:hint="eastAsia" w:cs="Times New Roman"/>
                <w:color w:val="auto"/>
                <w:sz w:val="24"/>
                <w:szCs w:val="24"/>
                <w:highlight w:val="none"/>
                <w:lang w:eastAsia="zh-CN"/>
              </w:rPr>
              <w:t>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应急水囊</w:t>
            </w:r>
            <w:r>
              <w:rPr>
                <w:rFonts w:hint="eastAsia" w:cs="Times New Roman"/>
                <w:color w:val="auto"/>
                <w:sz w:val="24"/>
                <w:szCs w:val="24"/>
                <w:highlight w:val="none"/>
                <w:lang w:eastAsia="zh-CN"/>
              </w:rPr>
              <w:t>，雨、</w:t>
            </w:r>
            <w:r>
              <w:rPr>
                <w:rFonts w:hint="eastAsia" w:cs="Times New Roman"/>
                <w:color w:val="auto"/>
                <w:sz w:val="24"/>
                <w:szCs w:val="24"/>
                <w:highlight w:val="none"/>
                <w:lang w:val="en-US" w:eastAsia="zh-CN"/>
              </w:rPr>
              <w:t>污</w:t>
            </w:r>
            <w:r>
              <w:rPr>
                <w:rFonts w:hint="eastAsia" w:cs="Times New Roman"/>
                <w:color w:val="auto"/>
                <w:sz w:val="24"/>
                <w:szCs w:val="24"/>
                <w:highlight w:val="none"/>
                <w:lang w:eastAsia="zh-CN"/>
              </w:rPr>
              <w:t>水排放口配备</w:t>
            </w:r>
            <w:r>
              <w:rPr>
                <w:rFonts w:hint="eastAsia" w:cs="Times New Roman"/>
                <w:color w:val="auto"/>
                <w:sz w:val="24"/>
                <w:szCs w:val="24"/>
                <w:highlight w:val="none"/>
                <w:lang w:val="en-US" w:eastAsia="zh-CN"/>
              </w:rPr>
              <w:t>堵水气囊</w:t>
            </w:r>
            <w:r>
              <w:rPr>
                <w:rFonts w:hint="eastAsia" w:cs="Times New Roman"/>
                <w:color w:val="auto"/>
                <w:sz w:val="24"/>
                <w:szCs w:val="24"/>
                <w:highlight w:val="none"/>
                <w:lang w:eastAsia="zh-CN"/>
              </w:rPr>
              <w:t>。</w:t>
            </w:r>
          </w:p>
        </w:tc>
      </w:tr>
      <w:tr w14:paraId="40D01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873" w:type="dxa"/>
            <w:gridSpan w:val="3"/>
            <w:vAlign w:val="center"/>
          </w:tcPr>
          <w:p w14:paraId="6808EF72">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其他环境</w:t>
            </w:r>
          </w:p>
          <w:p w14:paraId="39D6E41F">
            <w:pPr>
              <w:pStyle w:val="48"/>
              <w:tabs>
                <w:tab w:val="left" w:pos="0"/>
              </w:tabs>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管理要求</w:t>
            </w:r>
          </w:p>
        </w:tc>
        <w:tc>
          <w:tcPr>
            <w:tcW w:w="6927" w:type="dxa"/>
            <w:gridSpan w:val="4"/>
            <w:vAlign w:val="center"/>
          </w:tcPr>
          <w:p w14:paraId="719B95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w:t>
            </w:r>
            <w:r>
              <w:rPr>
                <w:rFonts w:hint="default"/>
                <w:color w:val="auto"/>
                <w:sz w:val="24"/>
                <w:szCs w:val="24"/>
                <w:highlight w:val="none"/>
                <w:lang w:val="en-US" w:eastAsia="zh-CN"/>
              </w:rPr>
              <w:t>环境管理机构</w:t>
            </w:r>
          </w:p>
          <w:p w14:paraId="73BF4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bookmarkStart w:id="212" w:name="sys2706063"/>
            <w:r>
              <w:rPr>
                <w:rFonts w:hint="default"/>
                <w:color w:val="auto"/>
                <w:sz w:val="24"/>
                <w:szCs w:val="24"/>
                <w:highlight w:val="none"/>
                <w:lang w:val="en-US" w:eastAsia="zh-CN"/>
              </w:rPr>
              <w:t>项目建成后，设置专门的环境管理机构，配备专职环保人员，负责环境监督管理工作，同时要加强对管理人员的环保培训，不断提高管理水平。</w:t>
            </w:r>
            <w:bookmarkEnd w:id="212"/>
          </w:p>
          <w:p w14:paraId="28411A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eastAsia="zh-CN"/>
              </w:rPr>
              <w:t>）</w:t>
            </w:r>
            <w:r>
              <w:rPr>
                <w:rFonts w:hint="default"/>
                <w:color w:val="auto"/>
                <w:sz w:val="24"/>
                <w:szCs w:val="24"/>
                <w:highlight w:val="none"/>
                <w:lang w:val="en-US" w:eastAsia="zh-CN"/>
              </w:rPr>
              <w:t>环境管理内容</w:t>
            </w:r>
          </w:p>
          <w:p w14:paraId="4E065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eastAsia"/>
                <w:color w:val="auto"/>
                <w:sz w:val="24"/>
                <w:szCs w:val="24"/>
                <w:highlight w:val="none"/>
                <w:lang w:val="en-US" w:eastAsia="zh-CN"/>
              </w:rPr>
            </w:pPr>
            <w:bookmarkStart w:id="213" w:name="sys2708049"/>
            <w:r>
              <w:rPr>
                <w:rFonts w:hint="default"/>
                <w:color w:val="auto"/>
                <w:sz w:val="24"/>
                <w:szCs w:val="24"/>
                <w:highlight w:val="none"/>
                <w:lang w:val="en-US" w:eastAsia="zh-CN"/>
              </w:rPr>
              <w:t>项目在生产运行过程中为保证环境管理系统的有效运行应制定环境管理方案，环境管理方案主要包括下列内容</w:t>
            </w:r>
            <w:r>
              <w:rPr>
                <w:rFonts w:hint="eastAsia"/>
                <w:color w:val="auto"/>
                <w:sz w:val="24"/>
                <w:szCs w:val="24"/>
                <w:highlight w:val="none"/>
                <w:lang w:val="en-US" w:eastAsia="zh-CN"/>
              </w:rPr>
              <w:t>：</w:t>
            </w:r>
            <w:bookmarkEnd w:id="213"/>
          </w:p>
          <w:p w14:paraId="1A49F2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eastAsia"/>
                <w:color w:val="auto"/>
                <w:sz w:val="24"/>
                <w:szCs w:val="24"/>
                <w:highlight w:val="none"/>
                <w:lang w:val="en-US" w:eastAsia="zh-CN"/>
              </w:rPr>
            </w:pPr>
            <w:bookmarkStart w:id="214" w:name="sys2709066"/>
            <w:r>
              <w:rPr>
                <w:rFonts w:hint="eastAsia"/>
                <w:color w:val="auto"/>
                <w:sz w:val="24"/>
                <w:szCs w:val="24"/>
                <w:highlight w:val="none"/>
                <w:lang w:val="en-US" w:eastAsia="zh-CN"/>
              </w:rPr>
              <w:t>①</w:t>
            </w:r>
            <w:r>
              <w:rPr>
                <w:rFonts w:hint="default"/>
                <w:color w:val="auto"/>
                <w:sz w:val="24"/>
                <w:szCs w:val="24"/>
                <w:highlight w:val="none"/>
                <w:lang w:val="en-US" w:eastAsia="zh-CN"/>
              </w:rPr>
              <w:t>组织贯彻国家及地方的有关环保方针、政策</w:t>
            </w:r>
            <w:sdt>
              <w:sdtPr>
                <w:rPr>
                  <w:color w:val="auto"/>
                  <w:highlight w:val="none"/>
                </w:rPr>
                <w:alias w:val="字词错误"/>
                <w:tag w:val="reviewtag_FF0000"/>
                <w:id w:val="3080245"/>
              </w:sdtPr>
              <w:sdtEndPr>
                <w:rPr>
                  <w:color w:val="auto"/>
                  <w:highlight w:val="none"/>
                </w:rPr>
              </w:sdtEndPr>
              <w:sdtContent>
                <w:bookmarkStart w:id="215" w:name="bkReivew3080245"/>
                <w:r>
                  <w:rPr>
                    <w:rFonts w:hint="default"/>
                    <w:color w:val="auto"/>
                    <w:sz w:val="24"/>
                    <w:szCs w:val="24"/>
                    <w:highlight w:val="none"/>
                    <w:lang w:val="en-US" w:eastAsia="zh-CN"/>
                  </w:rPr>
                  <w:t>法令</w:t>
                </w:r>
                <w:bookmarkEnd w:id="215"/>
              </w:sdtContent>
            </w:sdt>
            <w:r>
              <w:rPr>
                <w:rFonts w:hint="default"/>
                <w:color w:val="auto"/>
                <w:sz w:val="24"/>
                <w:szCs w:val="24"/>
                <w:highlight w:val="none"/>
                <w:lang w:val="en-US" w:eastAsia="zh-CN"/>
              </w:rPr>
              <w:t>和条例，搞好环境教育和技术培训，增强公司职工的环保意识和技术水平，提高污染控制的责任心</w:t>
            </w:r>
            <w:r>
              <w:rPr>
                <w:rFonts w:hint="eastAsia"/>
                <w:color w:val="auto"/>
                <w:sz w:val="24"/>
                <w:szCs w:val="24"/>
                <w:highlight w:val="none"/>
                <w:lang w:val="en-US" w:eastAsia="zh-CN"/>
              </w:rPr>
              <w:t>。</w:t>
            </w:r>
            <w:bookmarkEnd w:id="214"/>
          </w:p>
          <w:p w14:paraId="67A575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bookmarkStart w:id="216" w:name="sys2710065"/>
            <w:r>
              <w:rPr>
                <w:rFonts w:hint="eastAsia"/>
                <w:color w:val="auto"/>
                <w:sz w:val="24"/>
                <w:szCs w:val="24"/>
                <w:highlight w:val="none"/>
                <w:lang w:val="en-US" w:eastAsia="zh-CN"/>
              </w:rPr>
              <w:t>②</w:t>
            </w:r>
            <w:r>
              <w:rPr>
                <w:rFonts w:hint="default"/>
                <w:color w:val="auto"/>
                <w:sz w:val="24"/>
                <w:szCs w:val="24"/>
                <w:highlight w:val="none"/>
                <w:lang w:val="en-US" w:eastAsia="zh-CN"/>
              </w:rPr>
              <w:t>制定并实施公司环境保护工作的长期规划及年度污染治理计划</w:t>
            </w:r>
            <w:r>
              <w:rPr>
                <w:rFonts w:hint="eastAsia"/>
                <w:color w:val="auto"/>
                <w:sz w:val="24"/>
                <w:szCs w:val="24"/>
                <w:highlight w:val="none"/>
                <w:lang w:val="en-US" w:eastAsia="zh-CN"/>
              </w:rPr>
              <w:t>，</w:t>
            </w:r>
            <w:r>
              <w:rPr>
                <w:rFonts w:hint="default"/>
                <w:color w:val="auto"/>
                <w:sz w:val="24"/>
                <w:szCs w:val="24"/>
                <w:highlight w:val="none"/>
                <w:lang w:val="en-US" w:eastAsia="zh-CN"/>
              </w:rPr>
              <w:t>定期检查环保设施的运行状况及对设备的维修与管理，严格控制“三废”的排放。</w:t>
            </w:r>
            <w:bookmarkEnd w:id="216"/>
          </w:p>
          <w:p w14:paraId="4C741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③</w:t>
            </w:r>
            <w:r>
              <w:rPr>
                <w:rFonts w:hint="default"/>
                <w:color w:val="auto"/>
                <w:sz w:val="24"/>
                <w:szCs w:val="24"/>
                <w:highlight w:val="none"/>
                <w:lang w:val="en-US" w:eastAsia="zh-CN"/>
              </w:rPr>
              <w:t>掌握公司内部污染物排放状况，编制公司内部环境状况报告。</w:t>
            </w:r>
          </w:p>
          <w:p w14:paraId="132CAA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bookmarkStart w:id="217" w:name="sys2712039"/>
            <w:r>
              <w:rPr>
                <w:rFonts w:hint="eastAsia"/>
                <w:color w:val="auto"/>
                <w:sz w:val="24"/>
                <w:szCs w:val="24"/>
                <w:highlight w:val="none"/>
                <w:lang w:val="en-US" w:eastAsia="zh-CN"/>
              </w:rPr>
              <w:t>④</w:t>
            </w:r>
            <w:r>
              <w:rPr>
                <w:rFonts w:hint="default"/>
                <w:color w:val="auto"/>
                <w:sz w:val="24"/>
                <w:szCs w:val="24"/>
                <w:highlight w:val="none"/>
                <w:lang w:val="en-US" w:eastAsia="zh-CN"/>
              </w:rPr>
              <w:t>组织环境监测，检查公司环境状况，并及时将环境监测信息向生态环境主管部门通报。</w:t>
            </w:r>
            <w:bookmarkEnd w:id="217"/>
          </w:p>
          <w:p w14:paraId="25B334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bookmarkStart w:id="218" w:name="sys2713043"/>
            <w:r>
              <w:rPr>
                <w:rFonts w:hint="eastAsia"/>
                <w:color w:val="auto"/>
                <w:sz w:val="24"/>
                <w:szCs w:val="24"/>
                <w:highlight w:val="none"/>
                <w:lang w:val="en-US" w:eastAsia="zh-CN"/>
              </w:rPr>
              <w:t>⑤</w:t>
            </w:r>
            <w:r>
              <w:rPr>
                <w:rFonts w:hint="default"/>
                <w:color w:val="auto"/>
                <w:sz w:val="24"/>
                <w:szCs w:val="24"/>
                <w:highlight w:val="none"/>
                <w:lang w:val="en-US" w:eastAsia="zh-CN"/>
              </w:rPr>
              <w:t>调查处理公司内污染事故和污染纠纷</w:t>
            </w:r>
            <w:r>
              <w:rPr>
                <w:rFonts w:hint="eastAsia"/>
                <w:color w:val="auto"/>
                <w:sz w:val="24"/>
                <w:szCs w:val="24"/>
                <w:highlight w:val="none"/>
                <w:lang w:val="en-US" w:eastAsia="zh-CN"/>
              </w:rPr>
              <w:t>，</w:t>
            </w:r>
            <w:r>
              <w:rPr>
                <w:rFonts w:hint="default"/>
                <w:color w:val="auto"/>
                <w:sz w:val="24"/>
                <w:szCs w:val="24"/>
                <w:highlight w:val="none"/>
                <w:lang w:val="en-US" w:eastAsia="zh-CN"/>
              </w:rPr>
              <w:t>建立污染突发事故分类分级档案和处理制度、台账记录。</w:t>
            </w:r>
            <w:bookmarkEnd w:id="218"/>
          </w:p>
          <w:p w14:paraId="5A3832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w:t>
            </w:r>
            <w:r>
              <w:rPr>
                <w:rFonts w:hint="default"/>
                <w:color w:val="auto"/>
                <w:sz w:val="24"/>
                <w:szCs w:val="24"/>
                <w:highlight w:val="none"/>
                <w:lang w:val="en-US" w:eastAsia="zh-CN"/>
              </w:rPr>
              <w:t>排污许可要求</w:t>
            </w:r>
          </w:p>
          <w:p w14:paraId="61BF9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default"/>
                <w:color w:val="auto"/>
                <w:sz w:val="24"/>
                <w:szCs w:val="24"/>
                <w:highlight w:val="none"/>
                <w:lang w:val="en-US" w:eastAsia="zh-CN"/>
              </w:rPr>
              <w:t>根据《国民经济行业分类》</w:t>
            </w:r>
            <w:r>
              <w:rPr>
                <w:rFonts w:hint="eastAsia"/>
                <w:color w:val="auto"/>
                <w:sz w:val="24"/>
                <w:szCs w:val="24"/>
                <w:highlight w:val="none"/>
                <w:lang w:val="en-US" w:eastAsia="zh-CN"/>
              </w:rPr>
              <w:t>（</w:t>
            </w:r>
            <w:r>
              <w:rPr>
                <w:rFonts w:hint="default"/>
                <w:color w:val="auto"/>
                <w:sz w:val="24"/>
                <w:szCs w:val="24"/>
                <w:highlight w:val="none"/>
                <w:lang w:val="en-US" w:eastAsia="zh-CN"/>
              </w:rPr>
              <w:t>GB/T4754-2017</w:t>
            </w:r>
            <w:r>
              <w:rPr>
                <w:rFonts w:hint="eastAsia"/>
                <w:color w:val="auto"/>
                <w:sz w:val="24"/>
                <w:szCs w:val="24"/>
                <w:highlight w:val="none"/>
                <w:lang w:val="en-US" w:eastAsia="zh-CN"/>
              </w:rPr>
              <w:t>）</w:t>
            </w:r>
            <w:r>
              <w:rPr>
                <w:rFonts w:hint="default"/>
                <w:color w:val="auto"/>
                <w:sz w:val="24"/>
                <w:szCs w:val="24"/>
                <w:highlight w:val="none"/>
                <w:lang w:val="en-US" w:eastAsia="zh-CN"/>
              </w:rPr>
              <w:t>，本项目行业类别属于C3969其他智能消费设备制造，对照《固定污染源排污许可分类管理名录</w:t>
            </w:r>
            <w:r>
              <w:rPr>
                <w:rFonts w:hint="eastAsia"/>
                <w:color w:val="auto"/>
                <w:sz w:val="24"/>
                <w:szCs w:val="24"/>
                <w:highlight w:val="none"/>
                <w:lang w:val="en-US" w:eastAsia="zh-CN"/>
              </w:rPr>
              <w:t>（</w:t>
            </w:r>
            <w:r>
              <w:rPr>
                <w:rFonts w:hint="default"/>
                <w:color w:val="auto"/>
                <w:sz w:val="24"/>
                <w:szCs w:val="24"/>
                <w:highlight w:val="none"/>
                <w:lang w:val="en-US" w:eastAsia="zh-CN"/>
              </w:rPr>
              <w:t>2019年版</w:t>
            </w:r>
            <w:r>
              <w:rPr>
                <w:rFonts w:hint="eastAsia"/>
                <w:color w:val="auto"/>
                <w:sz w:val="24"/>
                <w:szCs w:val="24"/>
                <w:highlight w:val="none"/>
                <w:lang w:val="en-US" w:eastAsia="zh-CN"/>
              </w:rPr>
              <w:t>）</w:t>
            </w:r>
            <w:r>
              <w:rPr>
                <w:rFonts w:hint="default"/>
                <w:color w:val="auto"/>
                <w:sz w:val="24"/>
                <w:szCs w:val="24"/>
                <w:highlight w:val="none"/>
                <w:lang w:val="en-US" w:eastAsia="zh-CN"/>
              </w:rPr>
              <w:t>》，排污许可为</w:t>
            </w:r>
            <w:r>
              <w:rPr>
                <w:rFonts w:hint="eastAsia"/>
                <w:color w:val="auto"/>
                <w:sz w:val="24"/>
                <w:szCs w:val="24"/>
                <w:highlight w:val="none"/>
                <w:lang w:val="en-US" w:eastAsia="zh-CN"/>
              </w:rPr>
              <w:t>登记</w:t>
            </w:r>
            <w:r>
              <w:rPr>
                <w:rFonts w:hint="default"/>
                <w:color w:val="auto"/>
                <w:sz w:val="24"/>
                <w:szCs w:val="24"/>
                <w:highlight w:val="none"/>
                <w:lang w:val="en-US" w:eastAsia="zh-CN"/>
              </w:rPr>
              <w:t>管理。</w:t>
            </w:r>
          </w:p>
          <w:p w14:paraId="6526D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4</w:t>
            </w:r>
            <w:r>
              <w:rPr>
                <w:rFonts w:hint="eastAsia" w:cs="Times New Roman"/>
                <w:color w:val="auto"/>
                <w:sz w:val="24"/>
                <w:szCs w:val="24"/>
                <w:highlight w:val="none"/>
                <w:lang w:eastAsia="zh-CN"/>
              </w:rPr>
              <w:t>）</w:t>
            </w:r>
            <w:r>
              <w:rPr>
                <w:rFonts w:hint="default"/>
                <w:color w:val="auto"/>
                <w:sz w:val="24"/>
                <w:szCs w:val="24"/>
                <w:highlight w:val="none"/>
                <w:lang w:val="en-US" w:eastAsia="zh-CN"/>
              </w:rPr>
              <w:t>信息公开</w:t>
            </w:r>
          </w:p>
          <w:p w14:paraId="57FC3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eastAsia"/>
                <w:color w:val="auto"/>
                <w:sz w:val="24"/>
                <w:szCs w:val="24"/>
                <w:highlight w:val="none"/>
                <w:lang w:val="en-US" w:eastAsia="zh-CN"/>
              </w:rPr>
            </w:pPr>
            <w:bookmarkStart w:id="219" w:name="sys27170117"/>
            <w:r>
              <w:rPr>
                <w:rFonts w:hint="default"/>
                <w:color w:val="auto"/>
                <w:sz w:val="24"/>
                <w:szCs w:val="24"/>
                <w:highlight w:val="none"/>
                <w:lang w:val="en-US" w:eastAsia="zh-CN"/>
              </w:rPr>
              <w:t>向社会公开拟建项目污染物排放清单，明确污染物排放的管理要求。包括工程组成及原辅材料组分要求，建设项目拟采取的环境保护措施及主要运</w:t>
            </w:r>
            <w:r>
              <w:rPr>
                <w:rFonts w:hint="eastAsia"/>
                <w:color w:val="auto"/>
                <w:sz w:val="24"/>
                <w:szCs w:val="24"/>
                <w:highlight w:val="none"/>
                <w:lang w:val="en-US" w:eastAsia="zh-CN"/>
              </w:rPr>
              <w:t>行参数，排放的污染物种类、排放浓度和总量指标，排污口信息，执行的环境标准，环境风险防范措施以及环境监测等。</w:t>
            </w:r>
            <w:bookmarkEnd w:id="219"/>
          </w:p>
          <w:p w14:paraId="163A1D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eastAsia"/>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5</w:t>
            </w:r>
            <w:r>
              <w:rPr>
                <w:rFonts w:hint="eastAsia" w:cs="Times New Roman"/>
                <w:color w:val="auto"/>
                <w:sz w:val="24"/>
                <w:szCs w:val="24"/>
                <w:highlight w:val="none"/>
                <w:lang w:eastAsia="zh-CN"/>
              </w:rPr>
              <w:t>）</w:t>
            </w:r>
            <w:r>
              <w:rPr>
                <w:rFonts w:hint="eastAsia"/>
                <w:color w:val="auto"/>
                <w:sz w:val="24"/>
                <w:szCs w:val="24"/>
                <w:highlight w:val="none"/>
                <w:lang w:val="en-US" w:eastAsia="zh-CN"/>
              </w:rPr>
              <w:t>应急预案</w:t>
            </w:r>
          </w:p>
          <w:p w14:paraId="749A4C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根据《关于印发〈企业事业单位突发环境事件应急预案备案管理办法（试行）〉的通知》（环发</w:t>
            </w:r>
            <w:r>
              <w:rPr>
                <w:color w:val="auto"/>
                <w:sz w:val="24"/>
                <w:highlight w:val="none"/>
                <w:lang w:val="en-US" w:eastAsia="zh-CN"/>
              </w:rPr>
              <w:t>〔2025〕</w:t>
            </w:r>
            <w:r>
              <w:rPr>
                <w:rFonts w:hint="eastAsia"/>
                <w:color w:val="auto"/>
                <w:sz w:val="24"/>
                <w:szCs w:val="24"/>
                <w:highlight w:val="none"/>
                <w:lang w:val="en-US" w:eastAsia="zh-CN"/>
              </w:rPr>
              <w:t>4号）、《企业突发环境事件风险分级方法》（HJ941-2018），建设单位应编制事故应急预案及编制说明、环境事件风险评估报告、环境应急资源调查报告，并按照管理办法要求进行备案。</w:t>
            </w:r>
          </w:p>
          <w:p w14:paraId="43946B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（6）竣工验收根据《建设项目环境保护管理条例》（2017年修订）和《关于发布〈建设项目竣工环境保护验收暂行办法〉的公告》（国环规环评</w:t>
            </w:r>
            <w:r>
              <w:rPr>
                <w:color w:val="auto"/>
                <w:sz w:val="24"/>
                <w:highlight w:val="none"/>
                <w:lang w:val="en-US" w:eastAsia="zh-CN"/>
              </w:rPr>
              <w:t>〔20</w:t>
            </w:r>
            <w:r>
              <w:rPr>
                <w:rFonts w:hint="eastAsia"/>
                <w:color w:val="auto"/>
                <w:sz w:val="24"/>
                <w:highlight w:val="none"/>
                <w:lang w:val="en-US" w:eastAsia="zh-CN"/>
              </w:rPr>
              <w:t>17</w:t>
            </w:r>
            <w:r>
              <w:rPr>
                <w:color w:val="auto"/>
                <w:sz w:val="24"/>
                <w:highlight w:val="none"/>
                <w:lang w:val="en-US" w:eastAsia="zh-CN"/>
              </w:rPr>
              <w:t>〕</w:t>
            </w:r>
            <w:r>
              <w:rPr>
                <w:rFonts w:hint="eastAsia"/>
                <w:color w:val="auto"/>
                <w:sz w:val="24"/>
                <w:szCs w:val="24"/>
                <w:highlight w:val="none"/>
                <w:lang w:val="en-US" w:eastAsia="zh-CN"/>
              </w:rPr>
              <w:t>4号），本项目建设单位应依据建设项目竣工环境保护验收技术规范、环评文件及其批复的要求，自主开展环境保护竣工验收相关工作。建设项目配套建设的环境保护设施经验收合格，方可投入生产或者使用，未经验收或者验收不合格的，不得投入生产或者使用。</w:t>
            </w:r>
          </w:p>
          <w:p w14:paraId="3BBCE92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603157E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1179053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06125D0D">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02EFBF5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616D58C6">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5FBADE1E">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0747F414">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50100E25">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011F4C6F">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p w14:paraId="426099B1">
            <w:pPr>
              <w:pStyle w:val="48"/>
              <w:keepNext w:val="0"/>
              <w:keepLines w:val="0"/>
              <w:pageBreakBefore w:val="0"/>
              <w:widowControl w:val="0"/>
              <w:tabs>
                <w:tab w:val="left" w:pos="0"/>
              </w:tabs>
              <w:kinsoku/>
              <w:wordWrap/>
              <w:overflowPunct/>
              <w:topLinePunct w:val="0"/>
              <w:autoSpaceDE/>
              <w:autoSpaceDN/>
              <w:bidi w:val="0"/>
              <w:adjustRightInd w:val="0"/>
              <w:snapToGrid w:val="0"/>
              <w:spacing w:line="240" w:lineRule="auto"/>
              <w:ind w:firstLine="480" w:firstLineChars="200"/>
              <w:jc w:val="left"/>
              <w:textAlignment w:val="auto"/>
              <w:rPr>
                <w:rFonts w:hint="default" w:ascii="Times New Roman" w:hAnsi="Times New Roman" w:eastAsia="宋体" w:cs="Times New Roman"/>
                <w:color w:val="auto"/>
                <w:sz w:val="24"/>
                <w:szCs w:val="24"/>
                <w:highlight w:val="none"/>
              </w:rPr>
            </w:pPr>
          </w:p>
        </w:tc>
      </w:tr>
    </w:tbl>
    <w:p w14:paraId="3A49F077">
      <w:pPr>
        <w:pStyle w:val="29"/>
        <w:ind w:firstLine="480"/>
        <w:jc w:val="center"/>
        <w:rPr>
          <w:rFonts w:ascii="Times New Roman" w:hAnsi="Times New Roman"/>
          <w:snapToGrid w:val="0"/>
          <w:color w:val="auto"/>
          <w:highlight w:val="none"/>
        </w:rPr>
        <w:sectPr>
          <w:footerReference r:id="rId8"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54DEB88C">
      <w:pPr>
        <w:pStyle w:val="2"/>
        <w:keepLines w:val="0"/>
        <w:overflowPunct w:val="0"/>
        <w:snapToGrid w:val="0"/>
        <w:spacing w:before="120" w:after="160" w:line="360" w:lineRule="auto"/>
        <w:ind w:firstLine="0" w:firstLineChars="0"/>
        <w:jc w:val="center"/>
        <w:rPr>
          <w:rFonts w:eastAsia="黑体"/>
          <w:b w:val="0"/>
          <w:bCs/>
          <w:color w:val="auto"/>
          <w:sz w:val="30"/>
          <w:szCs w:val="30"/>
          <w:highlight w:val="none"/>
        </w:rPr>
      </w:pPr>
      <w:bookmarkStart w:id="220" w:name="_Toc1129"/>
      <w:r>
        <w:rPr>
          <w:rFonts w:eastAsia="黑体"/>
          <w:b w:val="0"/>
          <w:bCs/>
          <w:color w:val="auto"/>
          <w:sz w:val="30"/>
          <w:szCs w:val="30"/>
          <w:highlight w:val="none"/>
        </w:rPr>
        <w:t>六、结论</w:t>
      </w:r>
      <w:bookmarkEnd w:id="220"/>
    </w:p>
    <w:tbl>
      <w:tblPr>
        <w:tblStyle w:val="33"/>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8A8C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5FB2C7D3">
            <w:pPr>
              <w:spacing w:line="360" w:lineRule="auto"/>
              <w:ind w:firstLine="480"/>
              <w:rPr>
                <w:color w:val="auto"/>
                <w:highlight w:val="none"/>
              </w:rPr>
            </w:pPr>
            <w:r>
              <w:rPr>
                <w:rFonts w:hint="default"/>
                <w:color w:val="auto"/>
                <w:sz w:val="24"/>
                <w:highlight w:val="none"/>
                <w:lang w:val="zh-CN"/>
              </w:rPr>
              <w:t>项目的建设符合国家和地方产业政策和环境政策，与区域规划相容，选址布局合理，符合南京</w:t>
            </w:r>
            <w:r>
              <w:rPr>
                <w:rFonts w:hint="eastAsia" w:ascii="宋体" w:hAnsi="宋体" w:eastAsia="宋体" w:cs="宋体"/>
                <w:color w:val="auto"/>
                <w:sz w:val="24"/>
                <w:highlight w:val="none"/>
                <w:lang w:val="zh-CN"/>
              </w:rPr>
              <w:t>市</w:t>
            </w:r>
            <w:r>
              <w:rPr>
                <w:rFonts w:hint="eastAsia" w:ascii="宋体" w:hAnsi="宋体" w:cs="宋体"/>
                <w:color w:val="auto"/>
                <w:sz w:val="24"/>
                <w:highlight w:val="none"/>
                <w:lang w:val="en-US" w:eastAsia="zh-CN"/>
              </w:rPr>
              <w:t>生态环境分区管控</w:t>
            </w:r>
            <w:r>
              <w:rPr>
                <w:rFonts w:hint="eastAsia" w:ascii="宋体" w:hAnsi="宋体" w:eastAsia="宋体" w:cs="宋体"/>
                <w:color w:val="auto"/>
                <w:sz w:val="24"/>
                <w:highlight w:val="none"/>
                <w:lang w:val="zh-CN"/>
              </w:rPr>
              <w:t>要</w:t>
            </w:r>
            <w:r>
              <w:rPr>
                <w:rFonts w:hint="default"/>
                <w:color w:val="auto"/>
                <w:sz w:val="24"/>
                <w:highlight w:val="none"/>
                <w:lang w:val="zh-CN"/>
              </w:rPr>
              <w:t>求；项目采取的污染治理措施成熟可靠且技术经济可行，排放污染物能够达到国家规定的标准；项目的实施不会改变区域环境质量现状，不会影响区域环境目标的实现；项目环境风险影响处于可接受水平，风险防范措施切实可行。在有效落实环评中提出的各项环保措施和风险防控措施的前提下，从环保角度分析，本项目的建设是可行的。</w:t>
            </w:r>
          </w:p>
        </w:tc>
      </w:tr>
    </w:tbl>
    <w:p w14:paraId="35C902F5">
      <w:pPr>
        <w:adjustRightInd w:val="0"/>
        <w:spacing w:line="360" w:lineRule="auto"/>
        <w:ind w:firstLine="480"/>
        <w:rPr>
          <w:bCs/>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59A0D4A">
      <w:pPr>
        <w:pStyle w:val="29"/>
        <w:adjustRightInd w:val="0"/>
        <w:snapToGrid w:val="0"/>
        <w:spacing w:before="0" w:beforeAutospacing="0" w:after="0" w:afterAutospacing="0" w:line="648" w:lineRule="auto"/>
        <w:ind w:firstLine="640"/>
        <w:outlineLvl w:val="0"/>
        <w:rPr>
          <w:rFonts w:ascii="Times New Roman" w:hAnsi="Times New Roman" w:eastAsia="黑体"/>
          <w:snapToGrid w:val="0"/>
          <w:color w:val="auto"/>
          <w:sz w:val="32"/>
          <w:szCs w:val="32"/>
          <w:highlight w:val="none"/>
        </w:rPr>
      </w:pPr>
      <w:r>
        <w:rPr>
          <w:rFonts w:ascii="Times New Roman" w:hAnsi="Times New Roman" w:eastAsia="黑体"/>
          <w:snapToGrid w:val="0"/>
          <w:color w:val="auto"/>
          <w:sz w:val="32"/>
          <w:szCs w:val="32"/>
          <w:highlight w:val="none"/>
        </w:rPr>
        <w:t>附表</w:t>
      </w:r>
    </w:p>
    <w:p w14:paraId="61FCBEB3">
      <w:pPr>
        <w:spacing w:line="360" w:lineRule="auto"/>
        <w:ind w:firstLine="0" w:firstLineChars="0"/>
        <w:jc w:val="center"/>
        <w:rPr>
          <w:color w:val="auto"/>
          <w:sz w:val="38"/>
          <w:szCs w:val="38"/>
          <w:highlight w:val="none"/>
        </w:rPr>
      </w:pPr>
      <w:r>
        <w:rPr>
          <w:color w:val="auto"/>
          <w:sz w:val="38"/>
          <w:szCs w:val="38"/>
          <w:highlight w:val="none"/>
        </w:rPr>
        <w:t>建设项目污染物排放量汇总表</w:t>
      </w:r>
      <w:bookmarkStart w:id="221" w:name="pindex2737"/>
      <w:bookmarkEnd w:id="221"/>
    </w:p>
    <w:tbl>
      <w:tblPr>
        <w:tblStyle w:val="33"/>
        <w:tblW w:w="4867"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50"/>
        <w:gridCol w:w="487"/>
        <w:gridCol w:w="1429"/>
        <w:gridCol w:w="1568"/>
        <w:gridCol w:w="1466"/>
        <w:gridCol w:w="1206"/>
        <w:gridCol w:w="1649"/>
        <w:gridCol w:w="1306"/>
        <w:gridCol w:w="1645"/>
        <w:gridCol w:w="1752"/>
      </w:tblGrid>
      <w:tr w14:paraId="0D534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blHeader/>
        </w:trPr>
        <w:tc>
          <w:tcPr>
            <w:tcW w:w="397" w:type="pct"/>
            <w:gridSpan w:val="2"/>
            <w:tcBorders>
              <w:tl2br w:val="single" w:color="auto" w:sz="4" w:space="0"/>
            </w:tcBorders>
            <w:tcMar>
              <w:left w:w="28" w:type="dxa"/>
              <w:right w:w="28" w:type="dxa"/>
            </w:tcMar>
            <w:vAlign w:val="center"/>
          </w:tcPr>
          <w:p w14:paraId="382CCBAB">
            <w:pPr>
              <w:spacing w:line="240" w:lineRule="auto"/>
              <w:ind w:firstLine="0" w:firstLineChars="0"/>
              <w:jc w:val="center"/>
              <w:rPr>
                <w:b/>
                <w:bCs/>
                <w:snapToGrid w:val="0"/>
                <w:color w:val="auto"/>
                <w:spacing w:val="-6"/>
                <w:kern w:val="21"/>
                <w:sz w:val="24"/>
                <w:szCs w:val="24"/>
                <w:highlight w:val="none"/>
              </w:rPr>
            </w:pPr>
            <w:r>
              <w:rPr>
                <w:rFonts w:hint="eastAsia"/>
                <w:b/>
                <w:bCs/>
                <w:snapToGrid w:val="0"/>
                <w:color w:val="auto"/>
                <w:spacing w:val="-6"/>
                <w:kern w:val="21"/>
                <w:sz w:val="24"/>
                <w:szCs w:val="24"/>
                <w:highlight w:val="none"/>
              </w:rPr>
              <w:t xml:space="preserve">     </w:t>
            </w:r>
            <w:r>
              <w:rPr>
                <w:b/>
                <w:bCs/>
                <w:snapToGrid w:val="0"/>
                <w:color w:val="auto"/>
                <w:spacing w:val="-6"/>
                <w:kern w:val="21"/>
                <w:sz w:val="24"/>
                <w:szCs w:val="24"/>
                <w:highlight w:val="none"/>
              </w:rPr>
              <w:t>项目</w:t>
            </w:r>
          </w:p>
          <w:p w14:paraId="298E3584">
            <w:pPr>
              <w:spacing w:line="240" w:lineRule="auto"/>
              <w:ind w:firstLine="0" w:firstLineChars="0"/>
              <w:rPr>
                <w:b/>
                <w:bCs/>
                <w:snapToGrid w:val="0"/>
                <w:color w:val="auto"/>
                <w:spacing w:val="-6"/>
                <w:kern w:val="21"/>
                <w:sz w:val="24"/>
                <w:szCs w:val="24"/>
                <w:highlight w:val="none"/>
              </w:rPr>
            </w:pPr>
            <w:r>
              <w:rPr>
                <w:b/>
                <w:bCs/>
                <w:snapToGrid w:val="0"/>
                <w:color w:val="auto"/>
                <w:spacing w:val="-6"/>
                <w:kern w:val="21"/>
                <w:sz w:val="24"/>
                <w:szCs w:val="24"/>
                <w:highlight w:val="none"/>
              </w:rPr>
              <w:t>分类</w:t>
            </w:r>
          </w:p>
        </w:tc>
        <w:tc>
          <w:tcPr>
            <w:tcW w:w="547" w:type="pct"/>
            <w:tcMar>
              <w:left w:w="28" w:type="dxa"/>
              <w:right w:w="28" w:type="dxa"/>
            </w:tcMar>
            <w:vAlign w:val="center"/>
          </w:tcPr>
          <w:p w14:paraId="4FA7CCFD">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污染物名称</w:t>
            </w:r>
          </w:p>
        </w:tc>
        <w:tc>
          <w:tcPr>
            <w:tcW w:w="600" w:type="pct"/>
            <w:tcMar>
              <w:left w:w="28" w:type="dxa"/>
              <w:right w:w="28" w:type="dxa"/>
            </w:tcMar>
            <w:vAlign w:val="center"/>
          </w:tcPr>
          <w:p w14:paraId="736FDD0D">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现有工程</w:t>
            </w:r>
          </w:p>
          <w:p w14:paraId="25801F14">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排放量（固体废物产生量）</w:t>
            </w: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1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①</w:t>
            </w:r>
            <w:r>
              <w:rPr>
                <w:b/>
                <w:bCs/>
                <w:snapToGrid w:val="0"/>
                <w:color w:val="auto"/>
                <w:spacing w:val="-6"/>
                <w:kern w:val="21"/>
                <w:sz w:val="24"/>
                <w:szCs w:val="24"/>
                <w:highlight w:val="none"/>
              </w:rPr>
              <w:fldChar w:fldCharType="end"/>
            </w:r>
          </w:p>
        </w:tc>
        <w:tc>
          <w:tcPr>
            <w:tcW w:w="561" w:type="pct"/>
            <w:tcMar>
              <w:left w:w="28" w:type="dxa"/>
              <w:right w:w="28" w:type="dxa"/>
            </w:tcMar>
            <w:vAlign w:val="center"/>
          </w:tcPr>
          <w:p w14:paraId="279EC4F2">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现有工程许可排放量（固体废物产生量）</w:t>
            </w: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2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②</w:t>
            </w:r>
            <w:r>
              <w:rPr>
                <w:b/>
                <w:bCs/>
                <w:snapToGrid w:val="0"/>
                <w:color w:val="auto"/>
                <w:spacing w:val="-6"/>
                <w:kern w:val="21"/>
                <w:sz w:val="24"/>
                <w:szCs w:val="24"/>
                <w:highlight w:val="none"/>
              </w:rPr>
              <w:fldChar w:fldCharType="end"/>
            </w:r>
          </w:p>
        </w:tc>
        <w:tc>
          <w:tcPr>
            <w:tcW w:w="461" w:type="pct"/>
            <w:tcMar>
              <w:left w:w="28" w:type="dxa"/>
              <w:right w:w="28" w:type="dxa"/>
            </w:tcMar>
            <w:vAlign w:val="center"/>
          </w:tcPr>
          <w:p w14:paraId="10F6519B">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在建工程</w:t>
            </w:r>
          </w:p>
          <w:p w14:paraId="54A56B0B">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排放量（固体废物产生量）</w:t>
            </w: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3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③</w:t>
            </w:r>
            <w:r>
              <w:rPr>
                <w:b/>
                <w:bCs/>
                <w:snapToGrid w:val="0"/>
                <w:color w:val="auto"/>
                <w:spacing w:val="-6"/>
                <w:kern w:val="21"/>
                <w:sz w:val="24"/>
                <w:szCs w:val="24"/>
                <w:highlight w:val="none"/>
              </w:rPr>
              <w:fldChar w:fldCharType="end"/>
            </w:r>
          </w:p>
        </w:tc>
        <w:tc>
          <w:tcPr>
            <w:tcW w:w="631" w:type="pct"/>
            <w:tcMar>
              <w:left w:w="28" w:type="dxa"/>
              <w:right w:w="28" w:type="dxa"/>
            </w:tcMar>
            <w:vAlign w:val="center"/>
          </w:tcPr>
          <w:p w14:paraId="690866A0">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本项目</w:t>
            </w:r>
          </w:p>
          <w:p w14:paraId="0255FBF8">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排放量（固体废物产生量）</w:t>
            </w: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4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④</w:t>
            </w:r>
            <w:r>
              <w:rPr>
                <w:b/>
                <w:bCs/>
                <w:snapToGrid w:val="0"/>
                <w:color w:val="auto"/>
                <w:spacing w:val="-6"/>
                <w:kern w:val="21"/>
                <w:sz w:val="24"/>
                <w:szCs w:val="24"/>
                <w:highlight w:val="none"/>
              </w:rPr>
              <w:fldChar w:fldCharType="end"/>
            </w:r>
          </w:p>
        </w:tc>
        <w:tc>
          <w:tcPr>
            <w:tcW w:w="500" w:type="pct"/>
            <w:tcMar>
              <w:left w:w="28" w:type="dxa"/>
              <w:right w:w="28" w:type="dxa"/>
            </w:tcMar>
            <w:vAlign w:val="center"/>
          </w:tcPr>
          <w:p w14:paraId="37B00587">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以新带老削减量（新建项目不填）</w:t>
            </w: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5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⑤</w:t>
            </w:r>
            <w:r>
              <w:rPr>
                <w:b/>
                <w:bCs/>
                <w:snapToGrid w:val="0"/>
                <w:color w:val="auto"/>
                <w:spacing w:val="-6"/>
                <w:kern w:val="21"/>
                <w:sz w:val="24"/>
                <w:szCs w:val="24"/>
                <w:highlight w:val="none"/>
              </w:rPr>
              <w:fldChar w:fldCharType="end"/>
            </w:r>
          </w:p>
        </w:tc>
        <w:tc>
          <w:tcPr>
            <w:tcW w:w="629" w:type="pct"/>
            <w:tcMar>
              <w:left w:w="28" w:type="dxa"/>
              <w:right w:w="28" w:type="dxa"/>
            </w:tcMar>
            <w:vAlign w:val="center"/>
          </w:tcPr>
          <w:p w14:paraId="45696ACA">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本项目建成后全厂排放量（固体废物产生量）</w:t>
            </w: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6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⑥</w:t>
            </w:r>
            <w:r>
              <w:rPr>
                <w:b/>
                <w:bCs/>
                <w:snapToGrid w:val="0"/>
                <w:color w:val="auto"/>
                <w:spacing w:val="-6"/>
                <w:kern w:val="21"/>
                <w:sz w:val="24"/>
                <w:szCs w:val="24"/>
                <w:highlight w:val="none"/>
              </w:rPr>
              <w:fldChar w:fldCharType="end"/>
            </w:r>
          </w:p>
        </w:tc>
        <w:tc>
          <w:tcPr>
            <w:tcW w:w="670" w:type="pct"/>
            <w:tcMar>
              <w:left w:w="28" w:type="dxa"/>
              <w:right w:w="28" w:type="dxa"/>
            </w:tcMar>
            <w:vAlign w:val="center"/>
          </w:tcPr>
          <w:p w14:paraId="78328FD6">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t>变化量</w:t>
            </w:r>
          </w:p>
          <w:p w14:paraId="46C4F762">
            <w:pPr>
              <w:spacing w:line="240" w:lineRule="auto"/>
              <w:ind w:firstLine="0" w:firstLineChars="0"/>
              <w:jc w:val="center"/>
              <w:rPr>
                <w:b/>
                <w:bCs/>
                <w:snapToGrid w:val="0"/>
                <w:color w:val="auto"/>
                <w:spacing w:val="-6"/>
                <w:kern w:val="21"/>
                <w:sz w:val="24"/>
                <w:szCs w:val="24"/>
                <w:highlight w:val="none"/>
              </w:rPr>
            </w:pPr>
            <w:r>
              <w:rPr>
                <w:b/>
                <w:bCs/>
                <w:snapToGrid w:val="0"/>
                <w:color w:val="auto"/>
                <w:spacing w:val="-6"/>
                <w:kern w:val="21"/>
                <w:sz w:val="24"/>
                <w:szCs w:val="24"/>
                <w:highlight w:val="none"/>
              </w:rPr>
              <w:fldChar w:fldCharType="begin"/>
            </w:r>
            <w:r>
              <w:rPr>
                <w:b/>
                <w:bCs/>
                <w:snapToGrid w:val="0"/>
                <w:color w:val="auto"/>
                <w:spacing w:val="-6"/>
                <w:kern w:val="21"/>
                <w:sz w:val="24"/>
                <w:szCs w:val="24"/>
                <w:highlight w:val="none"/>
              </w:rPr>
              <w:instrText xml:space="preserve"> = 7 \* GB3 \* MERGEFORMAT </w:instrText>
            </w:r>
            <w:r>
              <w:rPr>
                <w:b/>
                <w:bCs/>
                <w:snapToGrid w:val="0"/>
                <w:color w:val="auto"/>
                <w:spacing w:val="-6"/>
                <w:kern w:val="21"/>
                <w:sz w:val="24"/>
                <w:szCs w:val="24"/>
                <w:highlight w:val="none"/>
              </w:rPr>
              <w:fldChar w:fldCharType="separate"/>
            </w:r>
            <w:r>
              <w:rPr>
                <w:b/>
                <w:bCs/>
                <w:snapToGrid w:val="0"/>
                <w:color w:val="auto"/>
                <w:spacing w:val="-6"/>
                <w:kern w:val="21"/>
                <w:sz w:val="24"/>
                <w:szCs w:val="24"/>
                <w:highlight w:val="none"/>
              </w:rPr>
              <w:t>⑦</w:t>
            </w:r>
            <w:r>
              <w:rPr>
                <w:b/>
                <w:bCs/>
                <w:snapToGrid w:val="0"/>
                <w:color w:val="auto"/>
                <w:spacing w:val="-6"/>
                <w:kern w:val="21"/>
                <w:sz w:val="24"/>
                <w:szCs w:val="24"/>
                <w:highlight w:val="none"/>
              </w:rPr>
              <w:fldChar w:fldCharType="end"/>
            </w:r>
          </w:p>
        </w:tc>
      </w:tr>
      <w:tr w14:paraId="51E160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0" w:type="pct"/>
            <w:vMerge w:val="restart"/>
            <w:vAlign w:val="center"/>
          </w:tcPr>
          <w:p w14:paraId="0CCE10BA">
            <w:pPr>
              <w:spacing w:line="240" w:lineRule="auto"/>
              <w:ind w:firstLine="0" w:firstLineChars="0"/>
              <w:jc w:val="center"/>
              <w:rPr>
                <w:snapToGrid w:val="0"/>
                <w:color w:val="auto"/>
                <w:kern w:val="21"/>
                <w:sz w:val="24"/>
                <w:szCs w:val="24"/>
                <w:highlight w:val="none"/>
              </w:rPr>
            </w:pPr>
            <w:r>
              <w:rPr>
                <w:snapToGrid w:val="0"/>
                <w:color w:val="auto"/>
                <w:kern w:val="21"/>
                <w:sz w:val="24"/>
                <w:szCs w:val="24"/>
                <w:highlight w:val="none"/>
              </w:rPr>
              <w:t>废气</w:t>
            </w:r>
          </w:p>
        </w:tc>
        <w:tc>
          <w:tcPr>
            <w:tcW w:w="186" w:type="pct"/>
            <w:vMerge w:val="restart"/>
            <w:vAlign w:val="center"/>
          </w:tcPr>
          <w:p w14:paraId="45BCC961">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无组织</w:t>
            </w:r>
          </w:p>
        </w:tc>
        <w:tc>
          <w:tcPr>
            <w:tcW w:w="547" w:type="pct"/>
            <w:shd w:val="clear" w:color="auto" w:fill="auto"/>
            <w:vAlign w:val="center"/>
          </w:tcPr>
          <w:p w14:paraId="31AA956E">
            <w:pPr>
              <w:spacing w:line="240" w:lineRule="auto"/>
              <w:ind w:firstLine="0" w:firstLineChars="0"/>
              <w:jc w:val="center"/>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eastAsia="宋体" w:cs="Times New Roman"/>
                <w:snapToGrid w:val="0"/>
                <w:color w:val="auto"/>
                <w:kern w:val="21"/>
                <w:sz w:val="24"/>
                <w:szCs w:val="24"/>
                <w:highlight w:val="none"/>
                <w:lang w:val="en-US" w:eastAsia="zh-CN"/>
              </w:rPr>
              <w:t>非甲烷总烃</w:t>
            </w:r>
          </w:p>
        </w:tc>
        <w:tc>
          <w:tcPr>
            <w:tcW w:w="600" w:type="pct"/>
            <w:shd w:val="clear" w:color="auto" w:fill="auto"/>
            <w:vAlign w:val="center"/>
          </w:tcPr>
          <w:p w14:paraId="77D263EE">
            <w:pPr>
              <w:spacing w:line="240" w:lineRule="auto"/>
              <w:ind w:firstLine="0" w:firstLineChars="0"/>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268D049B">
            <w:pPr>
              <w:spacing w:line="240" w:lineRule="auto"/>
              <w:ind w:firstLine="0" w:firstLineChars="0"/>
              <w:jc w:val="center"/>
              <w:rPr>
                <w:rFonts w:hint="default" w:ascii="Times New Roman" w:hAnsi="Times New Roman" w:eastAsia="宋体" w:cs="Times New Roman"/>
                <w:color w:val="auto"/>
                <w:kern w:val="0"/>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461" w:type="pct"/>
            <w:vAlign w:val="center"/>
          </w:tcPr>
          <w:p w14:paraId="6D0F9E96">
            <w:pPr>
              <w:spacing w:line="240" w:lineRule="auto"/>
              <w:ind w:firstLine="0" w:firstLineChars="0"/>
              <w:jc w:val="center"/>
              <w:rPr>
                <w:rFonts w:hint="eastAsia"/>
                <w:color w:val="auto"/>
                <w:sz w:val="24"/>
                <w:szCs w:val="24"/>
                <w:highlight w:val="none"/>
                <w:lang w:val="en-US" w:eastAsia="zh-CN"/>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4AF1AB85">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0</w:t>
            </w:r>
            <w:r>
              <w:rPr>
                <w:rFonts w:hint="eastAsia" w:eastAsia="宋体" w:cs="Times New Roman"/>
                <w:color w:val="auto"/>
                <w:sz w:val="24"/>
                <w:szCs w:val="24"/>
                <w:lang w:val="en-US" w:eastAsia="zh-CN"/>
              </w:rPr>
              <w:t>026</w:t>
            </w:r>
          </w:p>
        </w:tc>
        <w:tc>
          <w:tcPr>
            <w:tcW w:w="500" w:type="pct"/>
            <w:shd w:val="clear" w:color="auto" w:fill="auto"/>
            <w:vAlign w:val="center"/>
          </w:tcPr>
          <w:p w14:paraId="226F7775">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5AD3FC01">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default"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0</w:t>
            </w:r>
            <w:r>
              <w:rPr>
                <w:rFonts w:hint="eastAsia" w:eastAsia="宋体" w:cs="Times New Roman"/>
                <w:color w:val="auto"/>
                <w:sz w:val="24"/>
                <w:szCs w:val="24"/>
                <w:lang w:val="en-US" w:eastAsia="zh-CN"/>
              </w:rPr>
              <w:t>026</w:t>
            </w:r>
          </w:p>
        </w:tc>
        <w:tc>
          <w:tcPr>
            <w:tcW w:w="1752" w:type="dxa"/>
            <w:shd w:val="clear" w:color="auto" w:fill="auto"/>
            <w:vAlign w:val="center"/>
          </w:tcPr>
          <w:p w14:paraId="63A82396">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eastAsia"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0</w:t>
            </w:r>
            <w:r>
              <w:rPr>
                <w:rFonts w:hint="eastAsia" w:eastAsia="宋体" w:cs="Times New Roman"/>
                <w:color w:val="auto"/>
                <w:sz w:val="24"/>
                <w:szCs w:val="24"/>
                <w:lang w:val="en-US" w:eastAsia="zh-CN"/>
              </w:rPr>
              <w:t>026</w:t>
            </w:r>
          </w:p>
        </w:tc>
      </w:tr>
      <w:tr w14:paraId="6B26A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0" w:type="pct"/>
            <w:vMerge w:val="continue"/>
            <w:vAlign w:val="center"/>
          </w:tcPr>
          <w:p w14:paraId="6F0F1711">
            <w:pPr>
              <w:spacing w:line="240" w:lineRule="auto"/>
              <w:ind w:firstLine="0" w:firstLineChars="0"/>
              <w:jc w:val="center"/>
              <w:rPr>
                <w:snapToGrid w:val="0"/>
                <w:color w:val="auto"/>
                <w:kern w:val="21"/>
                <w:sz w:val="24"/>
                <w:szCs w:val="24"/>
                <w:highlight w:val="none"/>
              </w:rPr>
            </w:pPr>
          </w:p>
        </w:tc>
        <w:tc>
          <w:tcPr>
            <w:tcW w:w="186" w:type="pct"/>
            <w:vMerge w:val="continue"/>
            <w:vAlign w:val="center"/>
          </w:tcPr>
          <w:p w14:paraId="52E914CB">
            <w:pPr>
              <w:spacing w:line="240" w:lineRule="auto"/>
              <w:ind w:firstLine="0" w:firstLineChars="0"/>
              <w:jc w:val="center"/>
              <w:rPr>
                <w:rFonts w:hint="eastAsia"/>
                <w:snapToGrid w:val="0"/>
                <w:color w:val="auto"/>
                <w:kern w:val="21"/>
                <w:sz w:val="24"/>
                <w:szCs w:val="24"/>
                <w:highlight w:val="none"/>
                <w:lang w:val="en-US" w:eastAsia="zh-CN"/>
              </w:rPr>
            </w:pPr>
          </w:p>
        </w:tc>
        <w:tc>
          <w:tcPr>
            <w:tcW w:w="547" w:type="pct"/>
            <w:shd w:val="clear" w:color="auto" w:fill="auto"/>
            <w:vAlign w:val="center"/>
          </w:tcPr>
          <w:p w14:paraId="1E6E307A">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eastAsia="宋体" w:cs="Times New Roman"/>
                <w:snapToGrid w:val="0"/>
                <w:color w:val="auto"/>
                <w:kern w:val="21"/>
                <w:sz w:val="24"/>
                <w:szCs w:val="24"/>
                <w:highlight w:val="none"/>
                <w:lang w:val="en-US" w:eastAsia="zh-CN"/>
              </w:rPr>
              <w:t>颗粒物</w:t>
            </w:r>
          </w:p>
        </w:tc>
        <w:tc>
          <w:tcPr>
            <w:tcW w:w="600" w:type="pct"/>
            <w:shd w:val="clear" w:color="auto" w:fill="auto"/>
            <w:vAlign w:val="center"/>
          </w:tcPr>
          <w:p w14:paraId="1952AAE8">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68B657E1">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461" w:type="pct"/>
            <w:vAlign w:val="center"/>
          </w:tcPr>
          <w:p w14:paraId="287C08CB">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34B0E53E">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w:t>
            </w:r>
            <w:r>
              <w:rPr>
                <w:rFonts w:hint="eastAsia" w:eastAsia="宋体" w:cs="Times New Roman"/>
                <w:color w:val="auto"/>
                <w:sz w:val="24"/>
                <w:szCs w:val="24"/>
                <w:lang w:val="en-US" w:eastAsia="zh-CN"/>
              </w:rPr>
              <w:t>0188</w:t>
            </w:r>
          </w:p>
        </w:tc>
        <w:tc>
          <w:tcPr>
            <w:tcW w:w="500" w:type="pct"/>
            <w:shd w:val="clear" w:color="auto" w:fill="auto"/>
            <w:vAlign w:val="center"/>
          </w:tcPr>
          <w:p w14:paraId="28C0841A">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6DE9C31A">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eastAsia"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w:t>
            </w:r>
            <w:r>
              <w:rPr>
                <w:rFonts w:hint="eastAsia" w:eastAsia="宋体" w:cs="Times New Roman"/>
                <w:color w:val="auto"/>
                <w:sz w:val="24"/>
                <w:szCs w:val="24"/>
                <w:lang w:val="en-US" w:eastAsia="zh-CN"/>
              </w:rPr>
              <w:t>0188</w:t>
            </w:r>
          </w:p>
        </w:tc>
        <w:tc>
          <w:tcPr>
            <w:tcW w:w="1752" w:type="dxa"/>
            <w:shd w:val="clear" w:color="auto" w:fill="auto"/>
            <w:vAlign w:val="center"/>
          </w:tcPr>
          <w:p w14:paraId="2435CC2A">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eastAsia"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w:t>
            </w:r>
            <w:r>
              <w:rPr>
                <w:rFonts w:hint="eastAsia" w:eastAsia="宋体" w:cs="Times New Roman"/>
                <w:color w:val="auto"/>
                <w:sz w:val="24"/>
                <w:szCs w:val="24"/>
                <w:lang w:val="en-US" w:eastAsia="zh-CN"/>
              </w:rPr>
              <w:t>0188</w:t>
            </w:r>
          </w:p>
        </w:tc>
      </w:tr>
      <w:tr w14:paraId="2132C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210" w:type="pct"/>
            <w:vMerge w:val="continue"/>
            <w:vAlign w:val="center"/>
          </w:tcPr>
          <w:p w14:paraId="02E75592">
            <w:pPr>
              <w:spacing w:line="240" w:lineRule="auto"/>
              <w:ind w:firstLine="0" w:firstLineChars="0"/>
              <w:jc w:val="center"/>
              <w:rPr>
                <w:snapToGrid w:val="0"/>
                <w:color w:val="auto"/>
                <w:kern w:val="21"/>
                <w:sz w:val="24"/>
                <w:szCs w:val="24"/>
                <w:highlight w:val="none"/>
              </w:rPr>
            </w:pPr>
          </w:p>
        </w:tc>
        <w:tc>
          <w:tcPr>
            <w:tcW w:w="186" w:type="pct"/>
            <w:vMerge w:val="continue"/>
            <w:vAlign w:val="center"/>
          </w:tcPr>
          <w:p w14:paraId="20E70492">
            <w:pPr>
              <w:spacing w:line="240" w:lineRule="auto"/>
              <w:ind w:firstLine="0" w:firstLineChars="0"/>
              <w:jc w:val="center"/>
              <w:rPr>
                <w:rFonts w:hint="eastAsia"/>
                <w:snapToGrid w:val="0"/>
                <w:color w:val="auto"/>
                <w:kern w:val="21"/>
                <w:sz w:val="24"/>
                <w:szCs w:val="24"/>
                <w:highlight w:val="none"/>
                <w:lang w:val="en-US" w:eastAsia="zh-CN"/>
              </w:rPr>
            </w:pPr>
          </w:p>
        </w:tc>
        <w:tc>
          <w:tcPr>
            <w:tcW w:w="547" w:type="pct"/>
            <w:shd w:val="clear" w:color="auto" w:fill="auto"/>
            <w:vAlign w:val="center"/>
          </w:tcPr>
          <w:p w14:paraId="4C7BB379">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氟化物</w:t>
            </w:r>
          </w:p>
        </w:tc>
        <w:tc>
          <w:tcPr>
            <w:tcW w:w="600" w:type="pct"/>
            <w:shd w:val="clear" w:color="auto" w:fill="auto"/>
            <w:vAlign w:val="center"/>
          </w:tcPr>
          <w:p w14:paraId="7831CF2B">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0B8E4647">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461" w:type="pct"/>
            <w:vAlign w:val="center"/>
          </w:tcPr>
          <w:p w14:paraId="4F0288C1">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5A528962">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0.0</w:t>
            </w:r>
            <w:r>
              <w:rPr>
                <w:rFonts w:hint="eastAsia" w:eastAsia="宋体" w:cs="Times New Roman"/>
                <w:color w:val="auto"/>
                <w:sz w:val="24"/>
                <w:szCs w:val="24"/>
                <w:lang w:val="en-US" w:eastAsia="zh-CN"/>
              </w:rPr>
              <w:t>004</w:t>
            </w:r>
          </w:p>
        </w:tc>
        <w:tc>
          <w:tcPr>
            <w:tcW w:w="500" w:type="pct"/>
            <w:shd w:val="clear" w:color="auto" w:fill="auto"/>
            <w:vAlign w:val="center"/>
          </w:tcPr>
          <w:p w14:paraId="13449CC2">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eastAsia="宋体" w:cs="Times New Roman"/>
                <w:color w:val="auto"/>
                <w:sz w:val="24"/>
                <w:szCs w:val="24"/>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5DA40F7E">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eastAsia"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0.0</w:t>
            </w:r>
            <w:r>
              <w:rPr>
                <w:rFonts w:hint="eastAsia" w:eastAsia="宋体" w:cs="Times New Roman"/>
                <w:color w:val="auto"/>
                <w:sz w:val="24"/>
                <w:szCs w:val="24"/>
                <w:lang w:val="en-US" w:eastAsia="zh-CN"/>
              </w:rPr>
              <w:t>004</w:t>
            </w:r>
          </w:p>
        </w:tc>
        <w:tc>
          <w:tcPr>
            <w:tcW w:w="1752" w:type="dxa"/>
            <w:shd w:val="clear" w:color="auto" w:fill="auto"/>
            <w:vAlign w:val="center"/>
          </w:tcPr>
          <w:p w14:paraId="08300836">
            <w:pPr>
              <w:pStyle w:val="80"/>
              <w:keepNext w:val="0"/>
              <w:keepLines w:val="0"/>
              <w:pageBreakBefore w:val="0"/>
              <w:widowControl w:val="0"/>
              <w:kinsoku/>
              <w:wordWrap/>
              <w:overflowPunct/>
              <w:topLinePunct w:val="0"/>
              <w:autoSpaceDE/>
              <w:autoSpaceDN/>
              <w:bidi w:val="0"/>
              <w:spacing w:line="240" w:lineRule="exact"/>
              <w:ind w:firstLine="0" w:firstLineChars="0"/>
              <w:textAlignment w:val="auto"/>
              <w:rPr>
                <w:rFonts w:hint="eastAsia"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+0.0</w:t>
            </w:r>
            <w:r>
              <w:rPr>
                <w:rFonts w:hint="eastAsia" w:eastAsia="宋体" w:cs="Times New Roman"/>
                <w:color w:val="auto"/>
                <w:sz w:val="24"/>
                <w:szCs w:val="24"/>
                <w:lang w:val="en-US" w:eastAsia="zh-CN"/>
              </w:rPr>
              <w:t>004</w:t>
            </w:r>
          </w:p>
        </w:tc>
      </w:tr>
      <w:tr w14:paraId="437D26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restart"/>
            <w:vAlign w:val="center"/>
          </w:tcPr>
          <w:p w14:paraId="5B01DDF3">
            <w:pPr>
              <w:spacing w:line="240" w:lineRule="auto"/>
              <w:ind w:firstLine="0" w:firstLineChars="0"/>
              <w:jc w:val="center"/>
              <w:rPr>
                <w:snapToGrid w:val="0"/>
                <w:color w:val="auto"/>
                <w:kern w:val="21"/>
                <w:sz w:val="24"/>
                <w:szCs w:val="24"/>
                <w:highlight w:val="none"/>
              </w:rPr>
            </w:pPr>
            <w:r>
              <w:rPr>
                <w:snapToGrid w:val="0"/>
                <w:color w:val="auto"/>
                <w:kern w:val="21"/>
                <w:sz w:val="24"/>
                <w:szCs w:val="24"/>
                <w:highlight w:val="none"/>
              </w:rPr>
              <w:t>废水</w:t>
            </w:r>
          </w:p>
        </w:tc>
        <w:tc>
          <w:tcPr>
            <w:tcW w:w="547" w:type="pct"/>
            <w:vAlign w:val="center"/>
          </w:tcPr>
          <w:p w14:paraId="71ACA9BC">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废水量</w:t>
            </w:r>
          </w:p>
        </w:tc>
        <w:tc>
          <w:tcPr>
            <w:tcW w:w="600" w:type="pct"/>
            <w:vAlign w:val="center"/>
          </w:tcPr>
          <w:p w14:paraId="07F8982C">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561" w:type="pct"/>
            <w:vAlign w:val="center"/>
          </w:tcPr>
          <w:p w14:paraId="66F281A9">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461" w:type="pct"/>
            <w:vAlign w:val="center"/>
          </w:tcPr>
          <w:p w14:paraId="00651AA6">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41BBF526">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cs="Times New Roman"/>
                <w:color w:val="auto"/>
                <w:sz w:val="24"/>
                <w:szCs w:val="24"/>
                <w:highlight w:val="none"/>
                <w:lang w:val="en-US" w:eastAsia="zh-CN"/>
              </w:rPr>
              <w:t>50</w:t>
            </w:r>
          </w:p>
        </w:tc>
        <w:tc>
          <w:tcPr>
            <w:tcW w:w="500" w:type="pct"/>
            <w:vAlign w:val="center"/>
          </w:tcPr>
          <w:p w14:paraId="62B8780A">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629" w:type="pct"/>
            <w:shd w:val="clear" w:color="auto" w:fill="auto"/>
            <w:vAlign w:val="center"/>
          </w:tcPr>
          <w:p w14:paraId="59E1F990">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cs="Times New Roman"/>
                <w:color w:val="auto"/>
                <w:sz w:val="24"/>
                <w:szCs w:val="24"/>
                <w:highlight w:val="none"/>
                <w:lang w:val="en-US" w:eastAsia="zh-CN"/>
              </w:rPr>
              <w:t>50</w:t>
            </w:r>
          </w:p>
        </w:tc>
        <w:tc>
          <w:tcPr>
            <w:tcW w:w="670" w:type="pct"/>
            <w:shd w:val="clear" w:color="auto" w:fill="auto"/>
            <w:vAlign w:val="center"/>
          </w:tcPr>
          <w:p w14:paraId="4D2FF2A9">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cs="Times New Roman"/>
                <w:color w:val="auto"/>
                <w:sz w:val="24"/>
                <w:szCs w:val="24"/>
                <w:highlight w:val="none"/>
                <w:lang w:val="en-US" w:eastAsia="zh-CN"/>
              </w:rPr>
              <w:t>+50</w:t>
            </w:r>
          </w:p>
        </w:tc>
      </w:tr>
      <w:tr w14:paraId="3F801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332A50DD">
            <w:pPr>
              <w:spacing w:line="240" w:lineRule="auto"/>
              <w:ind w:firstLine="0" w:firstLineChars="0"/>
              <w:jc w:val="center"/>
              <w:rPr>
                <w:snapToGrid w:val="0"/>
                <w:color w:val="auto"/>
                <w:kern w:val="21"/>
                <w:sz w:val="24"/>
                <w:szCs w:val="24"/>
                <w:highlight w:val="none"/>
              </w:rPr>
            </w:pPr>
          </w:p>
        </w:tc>
        <w:tc>
          <w:tcPr>
            <w:tcW w:w="547" w:type="pct"/>
            <w:vAlign w:val="center"/>
          </w:tcPr>
          <w:p w14:paraId="796CFD55">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COD</w:t>
            </w:r>
          </w:p>
        </w:tc>
        <w:tc>
          <w:tcPr>
            <w:tcW w:w="600" w:type="pct"/>
            <w:vAlign w:val="center"/>
          </w:tcPr>
          <w:p w14:paraId="653F97EB">
            <w:pPr>
              <w:spacing w:line="240" w:lineRule="auto"/>
              <w:ind w:firstLine="0" w:firstLineChars="0"/>
              <w:jc w:val="center"/>
              <w:rPr>
                <w:rFonts w:hint="default"/>
                <w:snapToGrid w:val="0"/>
                <w:color w:val="auto"/>
                <w:kern w:val="21"/>
                <w:sz w:val="24"/>
                <w:szCs w:val="24"/>
                <w:highlight w:val="none"/>
                <w:lang w:val="en-US"/>
              </w:rPr>
            </w:pPr>
            <w:r>
              <w:rPr>
                <w:rFonts w:hint="eastAsia"/>
                <w:snapToGrid w:val="0"/>
                <w:color w:val="auto"/>
                <w:kern w:val="21"/>
                <w:sz w:val="24"/>
                <w:szCs w:val="24"/>
                <w:highlight w:val="none"/>
                <w:lang w:val="en-US" w:eastAsia="zh-CN"/>
              </w:rPr>
              <w:t>/</w:t>
            </w:r>
          </w:p>
        </w:tc>
        <w:tc>
          <w:tcPr>
            <w:tcW w:w="561" w:type="pct"/>
            <w:vAlign w:val="center"/>
          </w:tcPr>
          <w:p w14:paraId="53B3FDE4">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461" w:type="pct"/>
            <w:vAlign w:val="center"/>
          </w:tcPr>
          <w:p w14:paraId="3B2006C5">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7D0434D3">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0.018</w:t>
            </w:r>
            <w:r>
              <w:rPr>
                <w:rFonts w:hint="eastAsia" w:ascii="Times New Roman" w:hAnsi="Times New Roman" w:eastAsia="宋体" w:cs="Times New Roman"/>
                <w:color w:val="auto"/>
                <w:sz w:val="24"/>
                <w:szCs w:val="24"/>
                <w:highlight w:val="none"/>
                <w:lang w:val="en-US" w:eastAsia="zh-CN"/>
              </w:rPr>
              <w:t>/0.0025</w:t>
            </w:r>
          </w:p>
        </w:tc>
        <w:tc>
          <w:tcPr>
            <w:tcW w:w="500" w:type="pct"/>
            <w:vAlign w:val="center"/>
          </w:tcPr>
          <w:p w14:paraId="0B2F710A">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629" w:type="pct"/>
            <w:shd w:val="clear" w:color="auto" w:fill="auto"/>
            <w:vAlign w:val="center"/>
          </w:tcPr>
          <w:p w14:paraId="28486BDE">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0.018</w:t>
            </w:r>
            <w:r>
              <w:rPr>
                <w:rFonts w:hint="eastAsia" w:ascii="Times New Roman" w:hAnsi="Times New Roman" w:eastAsia="宋体" w:cs="Times New Roman"/>
                <w:color w:val="auto"/>
                <w:sz w:val="24"/>
                <w:szCs w:val="24"/>
                <w:highlight w:val="none"/>
                <w:lang w:val="en-US" w:eastAsia="zh-CN"/>
              </w:rPr>
              <w:t>/0.0025</w:t>
            </w:r>
          </w:p>
        </w:tc>
        <w:tc>
          <w:tcPr>
            <w:tcW w:w="670" w:type="pct"/>
            <w:shd w:val="clear" w:color="auto" w:fill="auto"/>
            <w:vAlign w:val="center"/>
          </w:tcPr>
          <w:p w14:paraId="7D5EF8EA">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0.018</w:t>
            </w:r>
            <w:r>
              <w:rPr>
                <w:rFonts w:hint="eastAsia" w:ascii="Times New Roman" w:hAnsi="Times New Roman" w:eastAsia="宋体" w:cs="Times New Roman"/>
                <w:color w:val="auto"/>
                <w:sz w:val="24"/>
                <w:szCs w:val="24"/>
                <w:highlight w:val="none"/>
                <w:lang w:val="en-US" w:eastAsia="zh-CN"/>
              </w:rPr>
              <w:t>/0.0025</w:t>
            </w:r>
          </w:p>
        </w:tc>
      </w:tr>
      <w:tr w14:paraId="557E8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310AA1C4">
            <w:pPr>
              <w:spacing w:line="240" w:lineRule="auto"/>
              <w:ind w:firstLine="0" w:firstLineChars="0"/>
              <w:jc w:val="center"/>
              <w:rPr>
                <w:snapToGrid w:val="0"/>
                <w:color w:val="auto"/>
                <w:kern w:val="21"/>
                <w:sz w:val="24"/>
                <w:szCs w:val="24"/>
                <w:highlight w:val="none"/>
              </w:rPr>
            </w:pPr>
          </w:p>
        </w:tc>
        <w:tc>
          <w:tcPr>
            <w:tcW w:w="547" w:type="pct"/>
            <w:vAlign w:val="center"/>
          </w:tcPr>
          <w:p w14:paraId="7FEC9A8A">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SS</w:t>
            </w:r>
          </w:p>
        </w:tc>
        <w:tc>
          <w:tcPr>
            <w:tcW w:w="600" w:type="pct"/>
            <w:vAlign w:val="center"/>
          </w:tcPr>
          <w:p w14:paraId="32F1A522">
            <w:pPr>
              <w:spacing w:line="240" w:lineRule="auto"/>
              <w:ind w:firstLine="0" w:firstLineChars="0"/>
              <w:jc w:val="center"/>
              <w:rPr>
                <w:rFonts w:hint="default"/>
                <w:snapToGrid w:val="0"/>
                <w:color w:val="auto"/>
                <w:kern w:val="21"/>
                <w:sz w:val="24"/>
                <w:szCs w:val="24"/>
                <w:highlight w:val="none"/>
                <w:lang w:val="en-US"/>
              </w:rPr>
            </w:pPr>
            <w:r>
              <w:rPr>
                <w:rFonts w:hint="eastAsia"/>
                <w:snapToGrid w:val="0"/>
                <w:color w:val="auto"/>
                <w:kern w:val="21"/>
                <w:sz w:val="24"/>
                <w:szCs w:val="24"/>
                <w:highlight w:val="none"/>
                <w:lang w:val="en-US" w:eastAsia="zh-CN"/>
              </w:rPr>
              <w:t>/</w:t>
            </w:r>
          </w:p>
        </w:tc>
        <w:tc>
          <w:tcPr>
            <w:tcW w:w="561" w:type="pct"/>
            <w:vAlign w:val="center"/>
          </w:tcPr>
          <w:p w14:paraId="7B58CCB5">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461" w:type="pct"/>
            <w:vAlign w:val="center"/>
          </w:tcPr>
          <w:p w14:paraId="18B24746">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631FE843">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0.007</w:t>
            </w:r>
            <w:r>
              <w:rPr>
                <w:rFonts w:hint="eastAsia" w:ascii="Times New Roman" w:hAnsi="Times New Roman" w:eastAsia="宋体" w:cs="Times New Roman"/>
                <w:color w:val="auto"/>
                <w:sz w:val="24"/>
                <w:szCs w:val="24"/>
                <w:highlight w:val="none"/>
                <w:lang w:val="en-US" w:eastAsia="zh-CN"/>
              </w:rPr>
              <w:t>/0.0005</w:t>
            </w:r>
          </w:p>
        </w:tc>
        <w:tc>
          <w:tcPr>
            <w:tcW w:w="500" w:type="pct"/>
            <w:vAlign w:val="center"/>
          </w:tcPr>
          <w:p w14:paraId="37F279B4">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629" w:type="pct"/>
            <w:shd w:val="clear" w:color="auto" w:fill="auto"/>
            <w:vAlign w:val="center"/>
          </w:tcPr>
          <w:p w14:paraId="45FEF1C9">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0.007</w:t>
            </w:r>
            <w:r>
              <w:rPr>
                <w:rFonts w:hint="eastAsia" w:ascii="Times New Roman" w:hAnsi="Times New Roman" w:eastAsia="宋体" w:cs="Times New Roman"/>
                <w:color w:val="auto"/>
                <w:sz w:val="24"/>
                <w:szCs w:val="24"/>
                <w:highlight w:val="none"/>
                <w:lang w:val="en-US" w:eastAsia="zh-CN"/>
              </w:rPr>
              <w:t>/0.0005</w:t>
            </w:r>
          </w:p>
        </w:tc>
        <w:tc>
          <w:tcPr>
            <w:tcW w:w="670" w:type="pct"/>
            <w:shd w:val="clear" w:color="auto" w:fill="auto"/>
            <w:vAlign w:val="center"/>
          </w:tcPr>
          <w:p w14:paraId="608E7DD7">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0.007</w:t>
            </w:r>
            <w:r>
              <w:rPr>
                <w:rFonts w:hint="eastAsia" w:ascii="Times New Roman" w:hAnsi="Times New Roman" w:eastAsia="宋体" w:cs="Times New Roman"/>
                <w:color w:val="auto"/>
                <w:sz w:val="24"/>
                <w:szCs w:val="24"/>
                <w:highlight w:val="none"/>
                <w:lang w:val="en-US" w:eastAsia="zh-CN"/>
              </w:rPr>
              <w:t>/0.0005</w:t>
            </w:r>
          </w:p>
        </w:tc>
      </w:tr>
      <w:tr w14:paraId="4E4DD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7244D04E">
            <w:pPr>
              <w:spacing w:line="240" w:lineRule="auto"/>
              <w:ind w:firstLine="0" w:firstLineChars="0"/>
              <w:jc w:val="center"/>
              <w:rPr>
                <w:snapToGrid w:val="0"/>
                <w:color w:val="auto"/>
                <w:kern w:val="21"/>
                <w:sz w:val="24"/>
                <w:szCs w:val="24"/>
                <w:highlight w:val="none"/>
              </w:rPr>
            </w:pPr>
          </w:p>
        </w:tc>
        <w:tc>
          <w:tcPr>
            <w:tcW w:w="547" w:type="pct"/>
            <w:vAlign w:val="center"/>
          </w:tcPr>
          <w:p w14:paraId="54F83333">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氨氮</w:t>
            </w:r>
          </w:p>
        </w:tc>
        <w:tc>
          <w:tcPr>
            <w:tcW w:w="600" w:type="pct"/>
            <w:vAlign w:val="center"/>
          </w:tcPr>
          <w:p w14:paraId="50D116E6">
            <w:pPr>
              <w:spacing w:line="240" w:lineRule="auto"/>
              <w:ind w:firstLine="0" w:firstLineChars="0"/>
              <w:jc w:val="center"/>
              <w:rPr>
                <w:rFonts w:hint="default"/>
                <w:snapToGrid w:val="0"/>
                <w:color w:val="auto"/>
                <w:kern w:val="21"/>
                <w:sz w:val="24"/>
                <w:szCs w:val="24"/>
                <w:highlight w:val="none"/>
                <w:lang w:val="en-US"/>
              </w:rPr>
            </w:pPr>
            <w:r>
              <w:rPr>
                <w:rFonts w:hint="eastAsia"/>
                <w:snapToGrid w:val="0"/>
                <w:color w:val="auto"/>
                <w:kern w:val="21"/>
                <w:sz w:val="24"/>
                <w:szCs w:val="24"/>
                <w:highlight w:val="none"/>
                <w:lang w:val="en-US" w:eastAsia="zh-CN"/>
              </w:rPr>
              <w:t>/</w:t>
            </w:r>
          </w:p>
        </w:tc>
        <w:tc>
          <w:tcPr>
            <w:tcW w:w="561" w:type="pct"/>
            <w:vAlign w:val="center"/>
          </w:tcPr>
          <w:p w14:paraId="00685A90">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461" w:type="pct"/>
            <w:vAlign w:val="center"/>
          </w:tcPr>
          <w:p w14:paraId="3E66F418">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47286A35">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0.0018</w:t>
            </w:r>
            <w:r>
              <w:rPr>
                <w:rFonts w:hint="eastAsia" w:ascii="Times New Roman" w:hAnsi="Times New Roman" w:eastAsia="宋体" w:cs="Times New Roman"/>
                <w:color w:val="auto"/>
                <w:sz w:val="24"/>
                <w:szCs w:val="24"/>
                <w:highlight w:val="none"/>
                <w:lang w:val="en-US" w:eastAsia="zh-CN"/>
              </w:rPr>
              <w:t>/0.0003</w:t>
            </w:r>
          </w:p>
        </w:tc>
        <w:tc>
          <w:tcPr>
            <w:tcW w:w="500" w:type="pct"/>
            <w:vAlign w:val="center"/>
          </w:tcPr>
          <w:p w14:paraId="6DE76D2B">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629" w:type="pct"/>
            <w:shd w:val="clear" w:color="auto" w:fill="auto"/>
            <w:vAlign w:val="center"/>
          </w:tcPr>
          <w:p w14:paraId="6254044E">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0.0018</w:t>
            </w:r>
            <w:r>
              <w:rPr>
                <w:rFonts w:hint="eastAsia" w:ascii="Times New Roman" w:hAnsi="Times New Roman" w:eastAsia="宋体" w:cs="Times New Roman"/>
                <w:color w:val="auto"/>
                <w:sz w:val="24"/>
                <w:szCs w:val="24"/>
                <w:highlight w:val="none"/>
                <w:lang w:val="en-US" w:eastAsia="zh-CN"/>
              </w:rPr>
              <w:t>/0.0003</w:t>
            </w:r>
          </w:p>
        </w:tc>
        <w:tc>
          <w:tcPr>
            <w:tcW w:w="670" w:type="pct"/>
            <w:shd w:val="clear" w:color="auto" w:fill="auto"/>
            <w:vAlign w:val="center"/>
          </w:tcPr>
          <w:p w14:paraId="4C35FD93">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0.0018</w:t>
            </w:r>
            <w:r>
              <w:rPr>
                <w:rFonts w:hint="eastAsia" w:ascii="Times New Roman" w:hAnsi="Times New Roman" w:eastAsia="宋体" w:cs="Times New Roman"/>
                <w:color w:val="auto"/>
                <w:sz w:val="24"/>
                <w:szCs w:val="24"/>
                <w:highlight w:val="none"/>
                <w:lang w:val="en-US" w:eastAsia="zh-CN"/>
              </w:rPr>
              <w:t>/0.0003</w:t>
            </w:r>
          </w:p>
        </w:tc>
      </w:tr>
      <w:tr w14:paraId="0949E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1B400815">
            <w:pPr>
              <w:spacing w:line="240" w:lineRule="auto"/>
              <w:ind w:firstLine="0" w:firstLineChars="0"/>
              <w:jc w:val="center"/>
              <w:rPr>
                <w:snapToGrid w:val="0"/>
                <w:color w:val="auto"/>
                <w:kern w:val="21"/>
                <w:sz w:val="24"/>
                <w:szCs w:val="24"/>
                <w:highlight w:val="none"/>
              </w:rPr>
            </w:pPr>
          </w:p>
        </w:tc>
        <w:tc>
          <w:tcPr>
            <w:tcW w:w="547" w:type="pct"/>
            <w:shd w:val="clear" w:color="auto" w:fill="auto"/>
            <w:vAlign w:val="center"/>
          </w:tcPr>
          <w:p w14:paraId="0282D8DC">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总氮</w:t>
            </w:r>
          </w:p>
        </w:tc>
        <w:tc>
          <w:tcPr>
            <w:tcW w:w="600" w:type="pct"/>
            <w:shd w:val="clear" w:color="auto" w:fill="auto"/>
            <w:vAlign w:val="center"/>
          </w:tcPr>
          <w:p w14:paraId="70C6317B">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7E65396A">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461" w:type="pct"/>
            <w:shd w:val="clear" w:color="auto" w:fill="auto"/>
            <w:vAlign w:val="center"/>
          </w:tcPr>
          <w:p w14:paraId="0C58807C">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395CED72">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0.003/0.00075</w:t>
            </w:r>
          </w:p>
        </w:tc>
        <w:tc>
          <w:tcPr>
            <w:tcW w:w="500" w:type="pct"/>
            <w:shd w:val="clear" w:color="auto" w:fill="auto"/>
            <w:vAlign w:val="center"/>
          </w:tcPr>
          <w:p w14:paraId="24EDAE8A">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bidi="ar-SA"/>
              </w:rPr>
            </w:pPr>
            <w:r>
              <w:rPr>
                <w:rFonts w:hint="eastAsia" w:eastAsia="宋体" w:cs="Times New Roman"/>
                <w:color w:val="auto"/>
                <w:sz w:val="24"/>
                <w:szCs w:val="24"/>
                <w:lang w:val="en-US" w:eastAsia="zh-CN"/>
              </w:rPr>
              <w:t>0</w:t>
            </w:r>
          </w:p>
        </w:tc>
        <w:tc>
          <w:tcPr>
            <w:tcW w:w="629" w:type="pct"/>
            <w:shd w:val="clear" w:color="auto" w:fill="auto"/>
            <w:vAlign w:val="center"/>
          </w:tcPr>
          <w:p w14:paraId="4D4DAD30">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0.003/0.00075</w:t>
            </w:r>
          </w:p>
        </w:tc>
        <w:tc>
          <w:tcPr>
            <w:tcW w:w="670" w:type="pct"/>
            <w:shd w:val="clear" w:color="auto" w:fill="auto"/>
            <w:vAlign w:val="center"/>
          </w:tcPr>
          <w:p w14:paraId="37F9E819">
            <w:pPr>
              <w:pStyle w:val="48"/>
              <w:keepNext w:val="0"/>
              <w:keepLines w:val="0"/>
              <w:pageBreakBefore w:val="0"/>
              <w:widowControl w:val="0"/>
              <w:tabs>
                <w:tab w:val="left" w:pos="0"/>
              </w:tabs>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rPr>
              <w:t>+0.003/0.00075</w:t>
            </w:r>
          </w:p>
        </w:tc>
      </w:tr>
      <w:tr w14:paraId="1ACD4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07C1D1E4">
            <w:pPr>
              <w:spacing w:line="240" w:lineRule="auto"/>
              <w:ind w:firstLine="0" w:firstLineChars="0"/>
              <w:jc w:val="center"/>
              <w:rPr>
                <w:snapToGrid w:val="0"/>
                <w:color w:val="auto"/>
                <w:kern w:val="21"/>
                <w:sz w:val="24"/>
                <w:szCs w:val="24"/>
                <w:highlight w:val="none"/>
              </w:rPr>
            </w:pPr>
          </w:p>
        </w:tc>
        <w:tc>
          <w:tcPr>
            <w:tcW w:w="547" w:type="pct"/>
            <w:shd w:val="clear" w:color="auto" w:fill="auto"/>
            <w:vAlign w:val="center"/>
          </w:tcPr>
          <w:p w14:paraId="0EBB9641">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总磷</w:t>
            </w:r>
          </w:p>
        </w:tc>
        <w:tc>
          <w:tcPr>
            <w:tcW w:w="600" w:type="pct"/>
            <w:shd w:val="clear" w:color="auto" w:fill="auto"/>
            <w:vAlign w:val="center"/>
          </w:tcPr>
          <w:p w14:paraId="54622960">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75E06729">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461" w:type="pct"/>
            <w:shd w:val="clear" w:color="auto" w:fill="auto"/>
            <w:vAlign w:val="center"/>
          </w:tcPr>
          <w:p w14:paraId="4A0B4AB8">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6164C383">
            <w:pPr>
              <w:pStyle w:val="48"/>
              <w:bidi w:val="0"/>
              <w:ind w:firstLine="0" w:firstLineChars="0"/>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cs="Times New Roman"/>
                <w:snapToGrid w:val="0"/>
                <w:color w:val="auto"/>
                <w:kern w:val="21"/>
                <w:sz w:val="24"/>
                <w:szCs w:val="24"/>
                <w:highlight w:val="none"/>
                <w:lang w:val="en-US" w:eastAsia="zh-CN" w:bidi="ar-SA"/>
              </w:rPr>
              <w:t>0.0003/0.00003</w:t>
            </w:r>
          </w:p>
        </w:tc>
        <w:tc>
          <w:tcPr>
            <w:tcW w:w="500" w:type="pct"/>
            <w:shd w:val="clear" w:color="auto" w:fill="auto"/>
            <w:vAlign w:val="center"/>
          </w:tcPr>
          <w:p w14:paraId="02DAF1E0">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bidi="ar-SA"/>
              </w:rPr>
            </w:pPr>
            <w:r>
              <w:rPr>
                <w:rFonts w:hint="eastAsia" w:eastAsia="宋体" w:cs="Times New Roman"/>
                <w:color w:val="auto"/>
                <w:sz w:val="24"/>
                <w:szCs w:val="24"/>
                <w:lang w:val="en-US" w:eastAsia="zh-CN"/>
              </w:rPr>
              <w:t>0</w:t>
            </w:r>
          </w:p>
        </w:tc>
        <w:tc>
          <w:tcPr>
            <w:tcW w:w="629" w:type="pct"/>
            <w:shd w:val="clear" w:color="auto" w:fill="auto"/>
            <w:vAlign w:val="center"/>
          </w:tcPr>
          <w:p w14:paraId="42F1129B">
            <w:pPr>
              <w:pStyle w:val="48"/>
              <w:bidi w:val="0"/>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cs="Times New Roman"/>
                <w:snapToGrid w:val="0"/>
                <w:color w:val="auto"/>
                <w:kern w:val="21"/>
                <w:sz w:val="24"/>
                <w:szCs w:val="24"/>
                <w:highlight w:val="none"/>
                <w:lang w:val="en-US" w:eastAsia="zh-CN" w:bidi="ar-SA"/>
              </w:rPr>
              <w:t>0.0003/0.00003</w:t>
            </w:r>
          </w:p>
        </w:tc>
        <w:tc>
          <w:tcPr>
            <w:tcW w:w="670" w:type="pct"/>
            <w:shd w:val="clear" w:color="auto" w:fill="auto"/>
            <w:vAlign w:val="center"/>
          </w:tcPr>
          <w:p w14:paraId="3212972B">
            <w:pPr>
              <w:pStyle w:val="48"/>
              <w:bidi w:val="0"/>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cs="Times New Roman"/>
                <w:snapToGrid w:val="0"/>
                <w:color w:val="auto"/>
                <w:kern w:val="21"/>
                <w:sz w:val="24"/>
                <w:szCs w:val="24"/>
                <w:highlight w:val="none"/>
                <w:lang w:val="en-US" w:eastAsia="zh-CN" w:bidi="ar-SA"/>
              </w:rPr>
              <w:t>+0.0003/0.00003</w:t>
            </w:r>
          </w:p>
        </w:tc>
      </w:tr>
      <w:tr w14:paraId="1A528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restart"/>
            <w:vAlign w:val="center"/>
          </w:tcPr>
          <w:p w14:paraId="3AD82282">
            <w:pPr>
              <w:spacing w:line="240" w:lineRule="auto"/>
              <w:ind w:firstLine="0" w:firstLineChars="0"/>
              <w:jc w:val="center"/>
              <w:rPr>
                <w:rFonts w:hint="eastAsia" w:eastAsia="宋体"/>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危险废物</w:t>
            </w:r>
          </w:p>
        </w:tc>
        <w:tc>
          <w:tcPr>
            <w:tcW w:w="1429" w:type="dxa"/>
            <w:shd w:val="clear" w:color="auto" w:fill="auto"/>
            <w:vAlign w:val="center"/>
          </w:tcPr>
          <w:p w14:paraId="10B0A70D">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泡电池废液</w:t>
            </w:r>
          </w:p>
        </w:tc>
        <w:tc>
          <w:tcPr>
            <w:tcW w:w="600" w:type="pct"/>
            <w:vAlign w:val="center"/>
          </w:tcPr>
          <w:p w14:paraId="64056A26">
            <w:pPr>
              <w:spacing w:line="240" w:lineRule="auto"/>
              <w:ind w:firstLine="0" w:firstLineChars="0"/>
              <w:jc w:val="center"/>
              <w:rPr>
                <w:rFonts w:hint="default" w:eastAsia="宋体"/>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3EC61822">
            <w:pPr>
              <w:spacing w:line="240" w:lineRule="auto"/>
              <w:ind w:firstLine="0" w:firstLineChars="0"/>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461" w:type="pct"/>
            <w:vAlign w:val="center"/>
          </w:tcPr>
          <w:p w14:paraId="5098B282">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0D04FD1F">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2.16</w:t>
            </w:r>
          </w:p>
        </w:tc>
        <w:tc>
          <w:tcPr>
            <w:tcW w:w="500" w:type="pct"/>
            <w:vAlign w:val="center"/>
          </w:tcPr>
          <w:p w14:paraId="136F4437">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2E989D11">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2.16</w:t>
            </w:r>
          </w:p>
        </w:tc>
        <w:tc>
          <w:tcPr>
            <w:tcW w:w="1752" w:type="dxa"/>
            <w:shd w:val="clear" w:color="auto" w:fill="auto"/>
            <w:vAlign w:val="center"/>
          </w:tcPr>
          <w:p w14:paraId="2FCE59A9">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+2.16</w:t>
            </w:r>
          </w:p>
        </w:tc>
      </w:tr>
      <w:tr w14:paraId="664B0A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2FD2591D">
            <w:pPr>
              <w:spacing w:line="240" w:lineRule="auto"/>
              <w:ind w:firstLine="0" w:firstLineChars="0"/>
              <w:jc w:val="center"/>
              <w:rPr>
                <w:rFonts w:hint="eastAsia"/>
                <w:snapToGrid w:val="0"/>
                <w:color w:val="auto"/>
                <w:kern w:val="21"/>
                <w:sz w:val="24"/>
                <w:szCs w:val="24"/>
                <w:highlight w:val="none"/>
                <w:lang w:val="en-US" w:eastAsia="zh-CN"/>
              </w:rPr>
            </w:pPr>
          </w:p>
        </w:tc>
        <w:tc>
          <w:tcPr>
            <w:tcW w:w="1429" w:type="dxa"/>
            <w:shd w:val="clear" w:color="auto" w:fill="auto"/>
            <w:vAlign w:val="center"/>
          </w:tcPr>
          <w:p w14:paraId="23AF1052">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消防废液</w:t>
            </w:r>
          </w:p>
        </w:tc>
        <w:tc>
          <w:tcPr>
            <w:tcW w:w="600" w:type="pct"/>
            <w:vAlign w:val="center"/>
          </w:tcPr>
          <w:p w14:paraId="57D5EB82">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78414D77">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461" w:type="pct"/>
            <w:vAlign w:val="center"/>
          </w:tcPr>
          <w:p w14:paraId="48BE5537">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412B399A">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0.006</w:t>
            </w:r>
          </w:p>
        </w:tc>
        <w:tc>
          <w:tcPr>
            <w:tcW w:w="500" w:type="pct"/>
            <w:vAlign w:val="center"/>
          </w:tcPr>
          <w:p w14:paraId="47E535B4">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5538EB6D">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0.006</w:t>
            </w:r>
          </w:p>
        </w:tc>
        <w:tc>
          <w:tcPr>
            <w:tcW w:w="1752" w:type="dxa"/>
            <w:shd w:val="clear" w:color="auto" w:fill="auto"/>
            <w:vAlign w:val="center"/>
          </w:tcPr>
          <w:p w14:paraId="3F3F2D80">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+0.006</w:t>
            </w:r>
          </w:p>
        </w:tc>
      </w:tr>
      <w:tr w14:paraId="7D68F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restart"/>
            <w:vAlign w:val="center"/>
          </w:tcPr>
          <w:p w14:paraId="70B1C62F">
            <w:pPr>
              <w:spacing w:line="240" w:lineRule="auto"/>
              <w:ind w:firstLine="0" w:firstLineChars="0"/>
              <w:jc w:val="center"/>
              <w:rPr>
                <w:rFonts w:hint="eastAsia" w:eastAsia="宋体"/>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一般工业固废</w:t>
            </w:r>
          </w:p>
        </w:tc>
        <w:tc>
          <w:tcPr>
            <w:tcW w:w="1429" w:type="dxa"/>
            <w:shd w:val="clear" w:color="auto" w:fill="auto"/>
            <w:vAlign w:val="center"/>
          </w:tcPr>
          <w:p w14:paraId="6EE3BFF2">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废包装材料</w:t>
            </w:r>
          </w:p>
        </w:tc>
        <w:tc>
          <w:tcPr>
            <w:tcW w:w="600" w:type="pct"/>
            <w:shd w:val="clear" w:color="auto" w:fill="auto"/>
            <w:vAlign w:val="center"/>
          </w:tcPr>
          <w:p w14:paraId="710778B0">
            <w:pPr>
              <w:spacing w:line="240" w:lineRule="auto"/>
              <w:ind w:firstLine="0" w:firstLineChars="0"/>
              <w:jc w:val="center"/>
              <w:rPr>
                <w:rFonts w:hint="default" w:ascii="Times New Roman" w:hAnsi="Times New Roman" w:eastAsia="宋体" w:cs="Times New Roman"/>
                <w:color w:val="auto"/>
                <w:kern w:val="0"/>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5DF18C77">
            <w:pPr>
              <w:spacing w:line="240" w:lineRule="auto"/>
              <w:ind w:firstLine="0" w:firstLineChars="0"/>
              <w:jc w:val="center"/>
              <w:rPr>
                <w:rFonts w:hint="default" w:ascii="Times New Roman" w:hAnsi="Times New Roman" w:eastAsia="宋体" w:cs="Times New Roman"/>
                <w:color w:val="auto"/>
                <w:kern w:val="0"/>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461" w:type="pct"/>
            <w:vAlign w:val="center"/>
          </w:tcPr>
          <w:p w14:paraId="65017471">
            <w:pPr>
              <w:spacing w:line="240" w:lineRule="auto"/>
              <w:ind w:firstLine="0" w:firstLineChars="0"/>
              <w:jc w:val="center"/>
              <w:rPr>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525820ED">
            <w:pPr>
              <w:spacing w:line="240" w:lineRule="auto"/>
              <w:ind w:firstLine="0" w:firstLineChars="0"/>
              <w:jc w:val="center"/>
              <w:rPr>
                <w:rFonts w:hint="default"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0.05</w:t>
            </w:r>
          </w:p>
        </w:tc>
        <w:tc>
          <w:tcPr>
            <w:tcW w:w="500" w:type="pct"/>
            <w:vAlign w:val="center"/>
          </w:tcPr>
          <w:p w14:paraId="24E30185">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1B3B9C82">
            <w:pPr>
              <w:spacing w:line="240" w:lineRule="auto"/>
              <w:ind w:firstLine="0" w:firstLineChars="0"/>
              <w:jc w:val="center"/>
              <w:rPr>
                <w:rFonts w:hint="default"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0.05</w:t>
            </w:r>
          </w:p>
        </w:tc>
        <w:tc>
          <w:tcPr>
            <w:tcW w:w="1752" w:type="dxa"/>
            <w:shd w:val="clear" w:color="auto" w:fill="auto"/>
            <w:vAlign w:val="center"/>
          </w:tcPr>
          <w:p w14:paraId="374319E5">
            <w:pPr>
              <w:spacing w:line="240" w:lineRule="auto"/>
              <w:ind w:firstLine="0" w:firstLineChars="0"/>
              <w:jc w:val="center"/>
              <w:rPr>
                <w:rFonts w:hint="default"/>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+0.05</w:t>
            </w:r>
          </w:p>
        </w:tc>
      </w:tr>
      <w:tr w14:paraId="43C0C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4F2F4DDE">
            <w:pPr>
              <w:spacing w:line="240" w:lineRule="auto"/>
              <w:ind w:firstLine="0" w:firstLineChars="0"/>
              <w:jc w:val="center"/>
              <w:rPr>
                <w:rFonts w:hint="eastAsia"/>
                <w:snapToGrid w:val="0"/>
                <w:color w:val="auto"/>
                <w:kern w:val="21"/>
                <w:sz w:val="24"/>
                <w:szCs w:val="24"/>
                <w:highlight w:val="none"/>
                <w:lang w:val="en-US" w:eastAsia="zh-CN"/>
              </w:rPr>
            </w:pPr>
          </w:p>
        </w:tc>
        <w:tc>
          <w:tcPr>
            <w:tcW w:w="1429" w:type="dxa"/>
            <w:shd w:val="clear" w:color="auto" w:fill="auto"/>
            <w:vAlign w:val="center"/>
          </w:tcPr>
          <w:p w14:paraId="1057A3F7">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废电池电芯</w:t>
            </w:r>
          </w:p>
        </w:tc>
        <w:tc>
          <w:tcPr>
            <w:tcW w:w="600" w:type="pct"/>
            <w:shd w:val="clear" w:color="auto" w:fill="auto"/>
            <w:vAlign w:val="center"/>
          </w:tcPr>
          <w:p w14:paraId="25023445">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1E959229">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461" w:type="pct"/>
            <w:vAlign w:val="center"/>
          </w:tcPr>
          <w:p w14:paraId="47AC8E93">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557D3B09">
            <w:pPr>
              <w:spacing w:line="240" w:lineRule="auto"/>
              <w:ind w:firstLine="0" w:firstLineChars="0"/>
              <w:jc w:val="center"/>
              <w:rPr>
                <w:rFonts w:hint="default"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1.4</w:t>
            </w:r>
          </w:p>
        </w:tc>
        <w:tc>
          <w:tcPr>
            <w:tcW w:w="500" w:type="pct"/>
            <w:vAlign w:val="center"/>
          </w:tcPr>
          <w:p w14:paraId="6A7D1991">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3B6C90CA">
            <w:pPr>
              <w:spacing w:line="240" w:lineRule="auto"/>
              <w:ind w:firstLine="0" w:firstLineChars="0"/>
              <w:jc w:val="center"/>
              <w:rPr>
                <w:rFonts w:hint="eastAsia"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1.4</w:t>
            </w:r>
          </w:p>
        </w:tc>
        <w:tc>
          <w:tcPr>
            <w:tcW w:w="1752" w:type="dxa"/>
            <w:shd w:val="clear" w:color="auto" w:fill="auto"/>
            <w:vAlign w:val="center"/>
          </w:tcPr>
          <w:p w14:paraId="0403FF83">
            <w:pPr>
              <w:spacing w:line="240" w:lineRule="auto"/>
              <w:ind w:firstLine="0" w:firstLineChars="0"/>
              <w:jc w:val="center"/>
              <w:rPr>
                <w:rFonts w:hint="eastAsia"/>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+1.4</w:t>
            </w:r>
          </w:p>
        </w:tc>
      </w:tr>
      <w:tr w14:paraId="7A0C3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Merge w:val="continue"/>
            <w:vAlign w:val="center"/>
          </w:tcPr>
          <w:p w14:paraId="282463FA">
            <w:pPr>
              <w:spacing w:line="240" w:lineRule="auto"/>
              <w:ind w:firstLine="0" w:firstLineChars="0"/>
              <w:jc w:val="center"/>
              <w:rPr>
                <w:rFonts w:hint="eastAsia"/>
                <w:snapToGrid w:val="0"/>
                <w:color w:val="auto"/>
                <w:kern w:val="21"/>
                <w:sz w:val="24"/>
                <w:szCs w:val="24"/>
                <w:highlight w:val="none"/>
                <w:lang w:val="en-US" w:eastAsia="zh-CN"/>
              </w:rPr>
            </w:pPr>
          </w:p>
        </w:tc>
        <w:tc>
          <w:tcPr>
            <w:tcW w:w="1429" w:type="dxa"/>
            <w:shd w:val="clear" w:color="auto" w:fill="auto"/>
            <w:vAlign w:val="center"/>
          </w:tcPr>
          <w:p w14:paraId="4604B78B">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报废灭火器瓶</w:t>
            </w:r>
          </w:p>
        </w:tc>
        <w:tc>
          <w:tcPr>
            <w:tcW w:w="600" w:type="pct"/>
            <w:shd w:val="clear" w:color="auto" w:fill="auto"/>
            <w:vAlign w:val="center"/>
          </w:tcPr>
          <w:p w14:paraId="652F26F3">
            <w:pPr>
              <w:spacing w:line="240" w:lineRule="auto"/>
              <w:ind w:firstLine="0" w:firstLineChars="0"/>
              <w:jc w:val="center"/>
              <w:rPr>
                <w:rFonts w:hint="default"/>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649148AC">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461" w:type="pct"/>
            <w:vAlign w:val="center"/>
          </w:tcPr>
          <w:p w14:paraId="1946F3BC">
            <w:pPr>
              <w:spacing w:line="240" w:lineRule="auto"/>
              <w:ind w:firstLine="0" w:firstLineChars="0"/>
              <w:jc w:val="center"/>
              <w:rPr>
                <w:rFonts w:hint="eastAsia"/>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581BC6C3">
            <w:pPr>
              <w:spacing w:line="240" w:lineRule="auto"/>
              <w:ind w:firstLine="0" w:firstLineChars="0"/>
              <w:jc w:val="center"/>
              <w:rPr>
                <w:rFonts w:hint="default"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0.005</w:t>
            </w:r>
          </w:p>
        </w:tc>
        <w:tc>
          <w:tcPr>
            <w:tcW w:w="500" w:type="pct"/>
            <w:vAlign w:val="center"/>
          </w:tcPr>
          <w:p w14:paraId="4CDBE281">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65ADA289">
            <w:pPr>
              <w:spacing w:line="240" w:lineRule="auto"/>
              <w:ind w:firstLine="0" w:firstLineChars="0"/>
              <w:jc w:val="center"/>
              <w:rPr>
                <w:rFonts w:hint="eastAsia"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0.005</w:t>
            </w:r>
          </w:p>
        </w:tc>
        <w:tc>
          <w:tcPr>
            <w:tcW w:w="1752" w:type="dxa"/>
            <w:shd w:val="clear" w:color="auto" w:fill="auto"/>
            <w:vAlign w:val="center"/>
          </w:tcPr>
          <w:p w14:paraId="3FBE81D7">
            <w:pPr>
              <w:spacing w:line="240" w:lineRule="auto"/>
              <w:ind w:firstLine="0" w:firstLineChars="0"/>
              <w:jc w:val="center"/>
              <w:rPr>
                <w:rFonts w:hint="eastAsia"/>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+0.005</w:t>
            </w:r>
          </w:p>
        </w:tc>
      </w:tr>
      <w:tr w14:paraId="7A51CB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7" w:type="pct"/>
            <w:gridSpan w:val="2"/>
            <w:vAlign w:val="center"/>
          </w:tcPr>
          <w:p w14:paraId="4E50CCA8">
            <w:pPr>
              <w:spacing w:line="240" w:lineRule="auto"/>
              <w:ind w:firstLine="0" w:firstLineChars="0"/>
              <w:jc w:val="center"/>
              <w:rPr>
                <w:rFonts w:hint="eastAsia" w:eastAsia="宋体"/>
                <w:snapToGrid w:val="0"/>
                <w:color w:val="auto"/>
                <w:kern w:val="21"/>
                <w:sz w:val="24"/>
                <w:szCs w:val="24"/>
                <w:highlight w:val="none"/>
                <w:lang w:val="en-US" w:eastAsia="zh-CN"/>
              </w:rPr>
            </w:pPr>
            <w:r>
              <w:rPr>
                <w:rFonts w:hint="eastAsia"/>
                <w:color w:val="auto"/>
                <w:sz w:val="24"/>
                <w:szCs w:val="24"/>
                <w:highlight w:val="none"/>
                <w:lang w:val="en-US" w:eastAsia="zh-CN"/>
              </w:rPr>
              <w:t>生活垃圾</w:t>
            </w:r>
          </w:p>
        </w:tc>
        <w:tc>
          <w:tcPr>
            <w:tcW w:w="547" w:type="pct"/>
            <w:shd w:val="clear" w:color="auto" w:fill="auto"/>
            <w:vAlign w:val="center"/>
          </w:tcPr>
          <w:p w14:paraId="41B7A38E">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生活垃圾</w:t>
            </w:r>
          </w:p>
        </w:tc>
        <w:tc>
          <w:tcPr>
            <w:tcW w:w="600" w:type="pct"/>
            <w:vAlign w:val="center"/>
          </w:tcPr>
          <w:p w14:paraId="70C86575">
            <w:pPr>
              <w:spacing w:line="240" w:lineRule="auto"/>
              <w:ind w:firstLine="0" w:firstLineChars="0"/>
              <w:jc w:val="center"/>
              <w:rPr>
                <w:rFonts w:hint="default" w:eastAsia="宋体"/>
                <w:snapToGrid w:val="0"/>
                <w:color w:val="auto"/>
                <w:kern w:val="21"/>
                <w:sz w:val="24"/>
                <w:szCs w:val="24"/>
                <w:highlight w:val="none"/>
                <w:lang w:val="en-US" w:eastAsia="zh-CN"/>
              </w:rPr>
            </w:pPr>
            <w:r>
              <w:rPr>
                <w:rFonts w:hint="eastAsia"/>
                <w:snapToGrid w:val="0"/>
                <w:color w:val="auto"/>
                <w:kern w:val="21"/>
                <w:sz w:val="24"/>
                <w:szCs w:val="24"/>
                <w:highlight w:val="none"/>
                <w:lang w:val="en-US" w:eastAsia="zh-CN"/>
              </w:rPr>
              <w:t>/</w:t>
            </w:r>
          </w:p>
        </w:tc>
        <w:tc>
          <w:tcPr>
            <w:tcW w:w="561" w:type="pct"/>
            <w:shd w:val="clear" w:color="auto" w:fill="auto"/>
            <w:vAlign w:val="center"/>
          </w:tcPr>
          <w:p w14:paraId="4EA1AE1D">
            <w:pPr>
              <w:spacing w:line="240" w:lineRule="auto"/>
              <w:ind w:firstLine="0" w:firstLineChars="0"/>
              <w:jc w:val="center"/>
              <w:rPr>
                <w:rFonts w:hint="eastAsia" w:ascii="Times New Roman" w:hAnsi="Times New Roman" w:eastAsia="宋体" w:cs="Times New Roman"/>
                <w:snapToGrid w:val="0"/>
                <w:color w:val="auto"/>
                <w:kern w:val="21"/>
                <w:sz w:val="24"/>
                <w:szCs w:val="24"/>
                <w:highlight w:val="none"/>
                <w:lang w:val="en-US" w:eastAsia="zh-CN" w:bidi="ar-SA"/>
              </w:rPr>
            </w:pPr>
            <w:r>
              <w:rPr>
                <w:rFonts w:hint="eastAsia"/>
                <w:snapToGrid w:val="0"/>
                <w:color w:val="auto"/>
                <w:kern w:val="21"/>
                <w:sz w:val="24"/>
                <w:szCs w:val="24"/>
                <w:highlight w:val="none"/>
                <w:lang w:val="en-US" w:eastAsia="zh-CN"/>
              </w:rPr>
              <w:t>/</w:t>
            </w:r>
          </w:p>
        </w:tc>
        <w:tc>
          <w:tcPr>
            <w:tcW w:w="461" w:type="pct"/>
            <w:vAlign w:val="center"/>
          </w:tcPr>
          <w:p w14:paraId="23FBA854">
            <w:pPr>
              <w:spacing w:line="240" w:lineRule="auto"/>
              <w:ind w:firstLine="0" w:firstLineChars="0"/>
              <w:jc w:val="center"/>
              <w:rPr>
                <w:rFonts w:hint="eastAsia"/>
                <w:snapToGrid w:val="0"/>
                <w:color w:val="auto"/>
                <w:kern w:val="21"/>
                <w:sz w:val="24"/>
                <w:szCs w:val="24"/>
                <w:highlight w:val="none"/>
              </w:rPr>
            </w:pPr>
            <w:r>
              <w:rPr>
                <w:rFonts w:hint="eastAsia"/>
                <w:snapToGrid w:val="0"/>
                <w:color w:val="auto"/>
                <w:kern w:val="21"/>
                <w:sz w:val="24"/>
                <w:szCs w:val="24"/>
                <w:highlight w:val="none"/>
                <w:lang w:val="en-US" w:eastAsia="zh-CN"/>
              </w:rPr>
              <w:t>/</w:t>
            </w:r>
          </w:p>
        </w:tc>
        <w:tc>
          <w:tcPr>
            <w:tcW w:w="631" w:type="pct"/>
            <w:shd w:val="clear" w:color="auto" w:fill="auto"/>
            <w:vAlign w:val="center"/>
          </w:tcPr>
          <w:p w14:paraId="2AC0A5FF">
            <w:pPr>
              <w:spacing w:line="240" w:lineRule="auto"/>
              <w:ind w:firstLine="0" w:firstLineChars="0"/>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0.625</w:t>
            </w:r>
          </w:p>
        </w:tc>
        <w:tc>
          <w:tcPr>
            <w:tcW w:w="500" w:type="pct"/>
            <w:vAlign w:val="center"/>
          </w:tcPr>
          <w:p w14:paraId="0FAA0666">
            <w:pPr>
              <w:pStyle w:val="80"/>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rPr>
                <w:rFonts w:hint="eastAsia" w:ascii="Times New Roman" w:hAnsi="Times New Roman" w:eastAsia="宋体" w:cs="Times New Roman"/>
                <w:snapToGrid w:val="0"/>
                <w:color w:val="auto"/>
                <w:kern w:val="21"/>
                <w:sz w:val="24"/>
                <w:szCs w:val="24"/>
                <w:highlight w:val="none"/>
                <w:lang w:val="en-US" w:eastAsia="zh-CN"/>
              </w:rPr>
            </w:pPr>
            <w:r>
              <w:rPr>
                <w:rFonts w:hint="eastAsia" w:eastAsia="宋体" w:cs="Times New Roman"/>
                <w:color w:val="auto"/>
                <w:sz w:val="24"/>
                <w:szCs w:val="24"/>
                <w:lang w:val="en-US" w:eastAsia="zh-CN"/>
              </w:rPr>
              <w:t>0</w:t>
            </w:r>
          </w:p>
        </w:tc>
        <w:tc>
          <w:tcPr>
            <w:tcW w:w="1645" w:type="dxa"/>
            <w:shd w:val="clear" w:color="auto" w:fill="auto"/>
            <w:vAlign w:val="center"/>
          </w:tcPr>
          <w:p w14:paraId="540CADF4">
            <w:pPr>
              <w:spacing w:line="240" w:lineRule="auto"/>
              <w:ind w:firstLine="0" w:firstLineChars="0"/>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0.625</w:t>
            </w:r>
          </w:p>
        </w:tc>
        <w:tc>
          <w:tcPr>
            <w:tcW w:w="1752" w:type="dxa"/>
            <w:shd w:val="clear" w:color="auto" w:fill="auto"/>
            <w:vAlign w:val="center"/>
          </w:tcPr>
          <w:p w14:paraId="1320578A">
            <w:pPr>
              <w:spacing w:line="240" w:lineRule="auto"/>
              <w:ind w:firstLine="0" w:firstLineChars="0"/>
              <w:jc w:val="center"/>
              <w:rPr>
                <w:rFonts w:hint="default"/>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+0.625</w:t>
            </w:r>
          </w:p>
        </w:tc>
      </w:tr>
    </w:tbl>
    <w:p w14:paraId="73248D1F">
      <w:pPr>
        <w:spacing w:line="360" w:lineRule="auto"/>
        <w:ind w:firstLine="480"/>
        <w:jc w:val="left"/>
        <w:rPr>
          <w:bCs/>
          <w:color w:val="auto"/>
          <w:highlight w:val="none"/>
        </w:rPr>
        <w:sectPr>
          <w:footerReference r:id="rId9"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118B729F">
      <w:pPr>
        <w:numPr>
          <w:ilvl w:val="0"/>
          <w:numId w:val="0"/>
        </w:numPr>
        <w:ind w:leftChars="0"/>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lang w:eastAsia="zh-CN"/>
        </w:rPr>
        <w:t>附件清单</w:t>
      </w:r>
    </w:p>
    <w:p w14:paraId="5DA17C7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rPr>
      </w:pPr>
      <w:r>
        <w:rPr>
          <w:rFonts w:hint="default"/>
          <w:color w:val="auto"/>
          <w:highlight w:val="none"/>
        </w:rPr>
        <w:t>附件1  委托书</w:t>
      </w:r>
    </w:p>
    <w:p w14:paraId="665F9D6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eastAsia="zh-CN"/>
        </w:rPr>
      </w:pPr>
      <w:r>
        <w:rPr>
          <w:rFonts w:hint="eastAsia"/>
          <w:color w:val="auto"/>
          <w:highlight w:val="none"/>
          <w:lang w:val="en-US" w:eastAsia="zh-CN"/>
        </w:rPr>
        <w:t>附件2  合同说明</w:t>
      </w:r>
    </w:p>
    <w:p w14:paraId="24FC62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highlight w:val="none"/>
          <w:lang w:val="en-US" w:eastAsia="zh-CN"/>
        </w:rPr>
      </w:pPr>
      <w:r>
        <w:rPr>
          <w:rFonts w:hint="default"/>
          <w:color w:val="auto"/>
          <w:highlight w:val="none"/>
        </w:rPr>
        <w:t>附件</w:t>
      </w:r>
      <w:r>
        <w:rPr>
          <w:rFonts w:hint="eastAsia"/>
          <w:color w:val="auto"/>
          <w:highlight w:val="none"/>
          <w:lang w:val="en-US" w:eastAsia="zh-CN"/>
        </w:rPr>
        <w:t>3</w:t>
      </w:r>
      <w:r>
        <w:rPr>
          <w:rFonts w:hint="default"/>
          <w:color w:val="auto"/>
          <w:highlight w:val="none"/>
        </w:rPr>
        <w:t xml:space="preserve">  备案证</w:t>
      </w:r>
      <w:r>
        <w:rPr>
          <w:rFonts w:hint="eastAsia"/>
          <w:color w:val="auto"/>
          <w:highlight w:val="none"/>
          <w:lang w:eastAsia="zh-CN"/>
        </w:rPr>
        <w:t>、</w:t>
      </w:r>
      <w:r>
        <w:rPr>
          <w:rFonts w:hint="eastAsia"/>
          <w:color w:val="auto"/>
          <w:highlight w:val="none"/>
          <w:lang w:val="en-US" w:eastAsia="zh-CN"/>
        </w:rPr>
        <w:t>登记信息单及</w:t>
      </w:r>
      <w:r>
        <w:rPr>
          <w:rFonts w:hint="eastAsia" w:cs="Times New Roman"/>
          <w:color w:val="auto"/>
          <w:highlight w:val="none"/>
          <w:lang w:val="en-US" w:eastAsia="zh-CN"/>
        </w:rPr>
        <w:t>设备清单</w:t>
      </w:r>
    </w:p>
    <w:p w14:paraId="7CC7C63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eastAsia="zh-CN"/>
        </w:rPr>
      </w:pPr>
      <w:r>
        <w:rPr>
          <w:rFonts w:hint="eastAsia"/>
          <w:color w:val="auto"/>
          <w:highlight w:val="none"/>
          <w:lang w:val="en-US" w:eastAsia="zh-CN"/>
        </w:rPr>
        <w:t>附件4  营业执照</w:t>
      </w:r>
    </w:p>
    <w:p w14:paraId="229CEA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highlight w:val="none"/>
        </w:rPr>
        <w:t>附件</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 xml:space="preserve">  </w:t>
      </w:r>
      <w:r>
        <w:rPr>
          <w:rFonts w:hint="eastAsia" w:cs="Times New Roman"/>
          <w:color w:val="auto"/>
          <w:highlight w:val="none"/>
          <w:lang w:val="en-US" w:eastAsia="zh-CN"/>
        </w:rPr>
        <w:t>租赁合同及不动产权</w:t>
      </w:r>
      <w:r>
        <w:rPr>
          <w:rFonts w:hint="eastAsia" w:ascii="Times New Roman" w:hAnsi="Times New Roman" w:eastAsia="宋体" w:cs="Times New Roman"/>
          <w:color w:val="auto"/>
          <w:highlight w:val="none"/>
          <w:lang w:val="en-US" w:eastAsia="zh-CN"/>
        </w:rPr>
        <w:t>证</w:t>
      </w:r>
    </w:p>
    <w:p w14:paraId="0EDBD27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附件6  规划环评审查意见</w:t>
      </w:r>
    </w:p>
    <w:p w14:paraId="6373CB5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附件</w:t>
      </w:r>
      <w:r>
        <w:rPr>
          <w:rFonts w:hint="eastAsia" w:cs="Times New Roman"/>
          <w:color w:val="auto"/>
          <w:highlight w:val="none"/>
          <w:lang w:val="en-US" w:eastAsia="zh-CN"/>
        </w:rPr>
        <w:t>7</w:t>
      </w:r>
      <w:r>
        <w:rPr>
          <w:rFonts w:hint="default"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lang w:val="en-US" w:eastAsia="zh-CN"/>
        </w:rPr>
        <w:t xml:space="preserve"> 江苏省生态环境分区管控系统的查询报告</w:t>
      </w:r>
    </w:p>
    <w:p w14:paraId="67F76E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eastAsia="宋体"/>
          <w:color w:val="auto"/>
          <w:highlight w:val="none"/>
          <w:lang w:val="en-US" w:eastAsia="zh-CN"/>
        </w:rPr>
      </w:pPr>
      <w:r>
        <w:rPr>
          <w:rFonts w:hint="default"/>
          <w:color w:val="auto"/>
          <w:highlight w:val="none"/>
        </w:rPr>
        <w:t>附件</w:t>
      </w:r>
      <w:r>
        <w:rPr>
          <w:rFonts w:hint="eastAsia"/>
          <w:color w:val="auto"/>
          <w:highlight w:val="none"/>
          <w:lang w:val="en-US" w:eastAsia="zh-CN"/>
        </w:rPr>
        <w:t>8</w:t>
      </w:r>
      <w:r>
        <w:rPr>
          <w:rFonts w:hint="default"/>
          <w:color w:val="auto"/>
          <w:highlight w:val="none"/>
        </w:rPr>
        <w:t xml:space="preserve">  危废处置</w:t>
      </w:r>
      <w:r>
        <w:rPr>
          <w:rFonts w:hint="eastAsia"/>
          <w:color w:val="auto"/>
          <w:highlight w:val="none"/>
          <w:lang w:val="en-US" w:eastAsia="zh-CN"/>
        </w:rPr>
        <w:t>承诺</w:t>
      </w:r>
    </w:p>
    <w:p w14:paraId="4940B5F4">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rPr>
      </w:pPr>
      <w:r>
        <w:rPr>
          <w:rFonts w:hint="default"/>
          <w:color w:val="auto"/>
          <w:highlight w:val="none"/>
        </w:rPr>
        <w:t>附件</w:t>
      </w:r>
      <w:r>
        <w:rPr>
          <w:rFonts w:hint="eastAsia"/>
          <w:color w:val="auto"/>
          <w:highlight w:val="none"/>
          <w:lang w:val="en-US" w:eastAsia="zh-CN"/>
        </w:rPr>
        <w:t>9</w:t>
      </w:r>
      <w:r>
        <w:rPr>
          <w:rFonts w:hint="default"/>
          <w:color w:val="auto"/>
          <w:highlight w:val="none"/>
        </w:rPr>
        <w:t xml:space="preserve">  声明</w:t>
      </w:r>
    </w:p>
    <w:p w14:paraId="454E7688">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rPr>
      </w:pPr>
      <w:r>
        <w:rPr>
          <w:rFonts w:hint="default"/>
          <w:color w:val="auto"/>
          <w:highlight w:val="none"/>
        </w:rPr>
        <w:t>附件</w:t>
      </w:r>
      <w:r>
        <w:rPr>
          <w:rFonts w:hint="eastAsia"/>
          <w:color w:val="auto"/>
          <w:highlight w:val="none"/>
          <w:lang w:val="en-US" w:eastAsia="zh-CN"/>
        </w:rPr>
        <w:t xml:space="preserve">10 </w:t>
      </w:r>
      <w:r>
        <w:rPr>
          <w:rFonts w:hint="default"/>
          <w:color w:val="auto"/>
          <w:highlight w:val="none"/>
        </w:rPr>
        <w:t xml:space="preserve"> </w:t>
      </w:r>
      <w:r>
        <w:rPr>
          <w:rFonts w:hint="eastAsia"/>
          <w:color w:val="auto"/>
          <w:highlight w:val="none"/>
          <w:lang w:val="en-US" w:eastAsia="zh-CN"/>
        </w:rPr>
        <w:t>未批先建</w:t>
      </w:r>
      <w:r>
        <w:rPr>
          <w:rFonts w:hint="default"/>
          <w:color w:val="auto"/>
          <w:highlight w:val="none"/>
        </w:rPr>
        <w:t>承诺书</w:t>
      </w:r>
    </w:p>
    <w:p w14:paraId="735F4AA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rPr>
      </w:pPr>
      <w:r>
        <w:rPr>
          <w:rFonts w:hint="default"/>
          <w:color w:val="auto"/>
          <w:highlight w:val="none"/>
        </w:rPr>
        <w:t>附件</w:t>
      </w:r>
      <w:r>
        <w:rPr>
          <w:rFonts w:hint="eastAsia"/>
          <w:color w:val="auto"/>
          <w:highlight w:val="none"/>
          <w:lang w:val="en-US" w:eastAsia="zh-CN"/>
        </w:rPr>
        <w:t>11</w:t>
      </w:r>
      <w:r>
        <w:rPr>
          <w:rFonts w:hint="default"/>
          <w:color w:val="auto"/>
          <w:highlight w:val="none"/>
        </w:rPr>
        <w:t xml:space="preserve"> </w:t>
      </w:r>
      <w:r>
        <w:rPr>
          <w:rFonts w:hint="eastAsia"/>
          <w:color w:val="auto"/>
          <w:highlight w:val="none"/>
          <w:lang w:val="en-US" w:eastAsia="zh-CN"/>
        </w:rPr>
        <w:t xml:space="preserve"> </w:t>
      </w:r>
      <w:r>
        <w:rPr>
          <w:rFonts w:hint="default"/>
          <w:color w:val="auto"/>
          <w:highlight w:val="none"/>
        </w:rPr>
        <w:t>区域评估承诺书</w:t>
      </w:r>
    </w:p>
    <w:p w14:paraId="51AAB7C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eastAsia="zh-CN"/>
        </w:rPr>
      </w:pPr>
      <w:r>
        <w:rPr>
          <w:rFonts w:hint="default"/>
          <w:color w:val="auto"/>
          <w:highlight w:val="none"/>
        </w:rPr>
        <w:t>附件</w:t>
      </w:r>
      <w:r>
        <w:rPr>
          <w:rFonts w:hint="eastAsia"/>
          <w:color w:val="auto"/>
          <w:highlight w:val="none"/>
          <w:lang w:val="en-US" w:eastAsia="zh-CN"/>
        </w:rPr>
        <w:t xml:space="preserve">12 </w:t>
      </w:r>
      <w:r>
        <w:rPr>
          <w:rFonts w:hint="default"/>
          <w:color w:val="auto"/>
          <w:highlight w:val="none"/>
          <w:lang w:val="en-US" w:eastAsia="zh-CN"/>
        </w:rPr>
        <w:t xml:space="preserve"> 报批申请书</w:t>
      </w:r>
    </w:p>
    <w:p w14:paraId="3BD5D6B5">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eastAsia="zh-CN"/>
        </w:rPr>
      </w:pPr>
      <w:r>
        <w:rPr>
          <w:rFonts w:hint="eastAsia"/>
          <w:color w:val="auto"/>
          <w:highlight w:val="none"/>
          <w:lang w:val="en-US" w:eastAsia="zh-CN"/>
        </w:rPr>
        <w:t>附件13  不宜公开说明</w:t>
      </w:r>
    </w:p>
    <w:p w14:paraId="65E5056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highlight w:val="none"/>
          <w:lang w:val="en-US" w:eastAsia="zh-CN"/>
        </w:rPr>
      </w:pPr>
      <w:r>
        <w:rPr>
          <w:rFonts w:hint="default"/>
          <w:color w:val="auto"/>
          <w:highlight w:val="none"/>
          <w:lang w:val="en-US" w:eastAsia="zh-CN"/>
        </w:rPr>
        <w:t>附件</w:t>
      </w:r>
      <w:r>
        <w:rPr>
          <w:rFonts w:hint="eastAsia"/>
          <w:color w:val="auto"/>
          <w:highlight w:val="none"/>
          <w:lang w:val="en-US" w:eastAsia="zh-CN"/>
        </w:rPr>
        <w:t>14  公示截图</w:t>
      </w:r>
    </w:p>
    <w:p w14:paraId="0BEA3D2A">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eastAsia="zh-CN"/>
        </w:rPr>
      </w:pPr>
      <w:r>
        <w:rPr>
          <w:rFonts w:hint="eastAsia"/>
          <w:color w:val="auto"/>
          <w:highlight w:val="none"/>
          <w:lang w:val="en-US" w:eastAsia="zh-CN"/>
        </w:rPr>
        <w:t xml:space="preserve">附件15  </w:t>
      </w:r>
      <w:r>
        <w:rPr>
          <w:rFonts w:hint="default"/>
          <w:color w:val="auto"/>
          <w:highlight w:val="none"/>
          <w:lang w:val="en-US" w:eastAsia="zh-CN"/>
        </w:rPr>
        <w:t>总量申请表</w:t>
      </w:r>
    </w:p>
    <w:p w14:paraId="49C3DEF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highlight w:val="none"/>
          <w:lang w:val="en-US" w:eastAsia="zh-CN"/>
        </w:rPr>
      </w:pPr>
      <w:r>
        <w:rPr>
          <w:rFonts w:hint="eastAsia"/>
          <w:color w:val="auto"/>
          <w:highlight w:val="none"/>
          <w:lang w:val="en-US" w:eastAsia="zh-CN"/>
        </w:rPr>
        <w:t>附件16  质量审核单</w:t>
      </w:r>
    </w:p>
    <w:p w14:paraId="3D136C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imes New Roman" w:hAnsi="Times New Roman" w:cs="Times New Roman"/>
          <w:b/>
          <w:bCs/>
          <w:color w:val="auto"/>
          <w:sz w:val="32"/>
          <w:szCs w:val="32"/>
          <w:highlight w:val="yellow"/>
          <w:lang w:eastAsia="zh-CN"/>
        </w:rPr>
        <w:sectPr>
          <w:pgSz w:w="11906" w:h="16838"/>
          <w:pgMar w:top="1701" w:right="1531" w:bottom="1701" w:left="1531" w:header="851" w:footer="850" w:gutter="0"/>
          <w:pgBorders>
            <w:top w:val="none" w:sz="0" w:space="0"/>
            <w:left w:val="none" w:sz="0" w:space="0"/>
            <w:bottom w:val="none" w:sz="0" w:space="0"/>
            <w:right w:val="none" w:sz="0" w:space="0"/>
          </w:pgBorders>
          <w:pgNumType w:fmt="decimal"/>
          <w:cols w:space="720" w:num="1"/>
          <w:docGrid w:linePitch="312" w:charSpace="0"/>
        </w:sectPr>
      </w:pPr>
    </w:p>
    <w:p w14:paraId="1C0BFD9F">
      <w:pPr>
        <w:numPr>
          <w:ilvl w:val="0"/>
          <w:numId w:val="0"/>
        </w:numPr>
        <w:ind w:leftChars="0"/>
        <w:rPr>
          <w:rFonts w:hint="default" w:ascii="Times New Roman" w:hAnsi="Times New Roman" w:eastAsia="宋体" w:cs="Times New Roman"/>
          <w:b/>
          <w:bCs/>
          <w:color w:val="auto"/>
          <w:sz w:val="32"/>
          <w:szCs w:val="32"/>
          <w:highlight w:val="none"/>
          <w:lang w:val="en-US" w:eastAsia="zh-CN"/>
        </w:rPr>
      </w:pPr>
      <w:r>
        <w:rPr>
          <w:rFonts w:hint="eastAsia" w:ascii="Times New Roman" w:hAnsi="Times New Roman" w:eastAsia="宋体" w:cs="Times New Roman"/>
          <w:b/>
          <w:bCs/>
          <w:color w:val="auto"/>
          <w:sz w:val="32"/>
          <w:szCs w:val="32"/>
          <w:highlight w:val="none"/>
          <w:lang w:eastAsia="zh-CN"/>
        </w:rPr>
        <w:t>附图</w:t>
      </w:r>
      <w:r>
        <w:rPr>
          <w:rFonts w:hint="eastAsia" w:ascii="Times New Roman" w:hAnsi="Times New Roman" w:eastAsia="宋体" w:cs="Times New Roman"/>
          <w:b/>
          <w:bCs/>
          <w:color w:val="auto"/>
          <w:sz w:val="32"/>
          <w:szCs w:val="32"/>
          <w:highlight w:val="none"/>
          <w:lang w:val="en-US" w:eastAsia="zh-CN"/>
        </w:rPr>
        <w:t>清单</w:t>
      </w:r>
    </w:p>
    <w:p w14:paraId="6932719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附图1  项目</w:t>
      </w:r>
      <w:r>
        <w:rPr>
          <w:rFonts w:hint="eastAsia" w:ascii="Times New Roman" w:hAnsi="Times New Roman" w:eastAsia="宋体" w:cs="Times New Roman"/>
          <w:color w:val="auto"/>
          <w:highlight w:val="none"/>
          <w:lang w:val="en-US" w:eastAsia="zh-CN"/>
        </w:rPr>
        <w:t>所在地</w:t>
      </w:r>
      <w:r>
        <w:rPr>
          <w:rFonts w:hint="default" w:ascii="Times New Roman" w:hAnsi="Times New Roman" w:eastAsia="宋体" w:cs="Times New Roman"/>
          <w:color w:val="auto"/>
          <w:highlight w:val="none"/>
          <w:lang w:val="en-US" w:eastAsia="zh-CN"/>
        </w:rPr>
        <w:t>地理位置图</w:t>
      </w:r>
      <w:bookmarkStart w:id="222" w:name="pindex2913"/>
      <w:bookmarkEnd w:id="222"/>
    </w:p>
    <w:p w14:paraId="3B65A62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附图</w:t>
      </w:r>
      <w:sdt>
        <w:sdtPr>
          <w:rPr>
            <w:color w:val="auto"/>
          </w:rPr>
          <w:alias w:val="多余空格"/>
          <w:tag w:val="reviewtag_FF0000"/>
          <w:id w:val="3063646"/>
        </w:sdtPr>
        <w:sdtEndPr>
          <w:rPr>
            <w:color w:val="auto"/>
          </w:rPr>
        </w:sdtEndPr>
        <w:sdtContent>
          <w:bookmarkStart w:id="223" w:name="bkReivew3063646"/>
          <w:r>
            <w:rPr>
              <w:rFonts w:hint="eastAsia" w:ascii="Times New Roman" w:hAnsi="Times New Roman" w:eastAsia="宋体" w:cs="Times New Roman"/>
              <w:color w:val="auto"/>
              <w:highlight w:val="none"/>
              <w:lang w:val="en-US" w:eastAsia="zh-CN"/>
            </w:rPr>
            <w:t xml:space="preserve">2  </w:t>
          </w:r>
          <w:r>
            <w:rPr>
              <w:rFonts w:hint="eastAsia" w:cs="Times New Roman"/>
              <w:color w:val="auto"/>
              <w:highlight w:val="none"/>
              <w:lang w:val="en-US" w:eastAsia="zh-CN"/>
            </w:rPr>
            <w:t>土</w:t>
          </w:r>
          <w:bookmarkEnd w:id="223"/>
        </w:sdtContent>
      </w:sdt>
      <w:r>
        <w:rPr>
          <w:rFonts w:hint="default" w:ascii="Times New Roman" w:hAnsi="Times New Roman" w:eastAsia="宋体" w:cs="Times New Roman"/>
          <w:color w:val="auto"/>
          <w:highlight w:val="none"/>
          <w:lang w:val="en-US" w:eastAsia="zh-CN"/>
        </w:rPr>
        <w:t>地利用规划图</w:t>
      </w:r>
      <w:bookmarkStart w:id="224" w:name="pindex2914"/>
      <w:bookmarkEnd w:id="224"/>
    </w:p>
    <w:p w14:paraId="737A95C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附图</w:t>
      </w:r>
      <w:r>
        <w:rPr>
          <w:rFonts w:hint="eastAsia" w:cs="Times New Roman"/>
          <w:color w:val="auto"/>
          <w:highlight w:val="none"/>
          <w:lang w:val="en-US" w:eastAsia="zh-CN"/>
        </w:rPr>
        <w:t>3</w:t>
      </w:r>
      <w:r>
        <w:rPr>
          <w:rFonts w:hint="default" w:ascii="Times New Roman" w:hAnsi="Times New Roman" w:eastAsia="宋体" w:cs="Times New Roman"/>
          <w:color w:val="auto"/>
          <w:highlight w:val="none"/>
          <w:lang w:val="en-US" w:eastAsia="zh-CN"/>
        </w:rPr>
        <w:t xml:space="preserve">  项目与江宁区生态</w:t>
      </w:r>
      <w:r>
        <w:rPr>
          <w:rFonts w:hint="eastAsia" w:ascii="Times New Roman" w:hAnsi="Times New Roman" w:eastAsia="宋体" w:cs="Times New Roman"/>
          <w:color w:val="auto"/>
          <w:highlight w:val="none"/>
          <w:lang w:val="en-US" w:eastAsia="zh-CN"/>
        </w:rPr>
        <w:t>保护红线</w:t>
      </w:r>
      <w:r>
        <w:rPr>
          <w:rFonts w:hint="default" w:ascii="Times New Roman" w:hAnsi="Times New Roman" w:eastAsia="宋体" w:cs="Times New Roman"/>
          <w:color w:val="auto"/>
          <w:highlight w:val="none"/>
          <w:lang w:val="en-US" w:eastAsia="zh-CN"/>
        </w:rPr>
        <w:t>位置图</w:t>
      </w:r>
      <w:bookmarkStart w:id="225" w:name="pindex2915"/>
      <w:bookmarkEnd w:id="225"/>
    </w:p>
    <w:p w14:paraId="7D74F3C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附图</w:t>
      </w:r>
      <w:r>
        <w:rPr>
          <w:rFonts w:hint="eastAsia" w:cs="Times New Roman"/>
          <w:color w:val="auto"/>
          <w:highlight w:val="none"/>
          <w:lang w:val="en-US" w:eastAsia="zh-CN"/>
        </w:rPr>
        <w:t>4</w:t>
      </w:r>
      <w:r>
        <w:rPr>
          <w:rFonts w:hint="default" w:ascii="Times New Roman" w:hAnsi="Times New Roman" w:eastAsia="宋体" w:cs="Times New Roman"/>
          <w:color w:val="auto"/>
          <w:highlight w:val="none"/>
          <w:lang w:val="en-US" w:eastAsia="zh-CN"/>
        </w:rPr>
        <w:t xml:space="preserve">  项目与江宁区生态空间</w:t>
      </w:r>
      <w:r>
        <w:rPr>
          <w:rFonts w:hint="eastAsia" w:ascii="Times New Roman" w:hAnsi="Times New Roman" w:eastAsia="宋体" w:cs="Times New Roman"/>
          <w:color w:val="auto"/>
          <w:highlight w:val="none"/>
          <w:lang w:val="en-US" w:eastAsia="zh-CN"/>
        </w:rPr>
        <w:t>管控区</w:t>
      </w:r>
      <w:r>
        <w:rPr>
          <w:rFonts w:hint="default" w:ascii="Times New Roman" w:hAnsi="Times New Roman" w:eastAsia="宋体" w:cs="Times New Roman"/>
          <w:color w:val="auto"/>
          <w:highlight w:val="none"/>
          <w:lang w:val="en-US" w:eastAsia="zh-CN"/>
        </w:rPr>
        <w:t>位置图</w:t>
      </w:r>
      <w:bookmarkStart w:id="226" w:name="pindex2916"/>
      <w:bookmarkEnd w:id="226"/>
    </w:p>
    <w:p w14:paraId="1969F29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附图</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 xml:space="preserve">  项目与</w:t>
      </w:r>
      <w:r>
        <w:rPr>
          <w:rFonts w:hint="eastAsia" w:ascii="Times New Roman" w:hAnsi="Times New Roman" w:eastAsia="宋体" w:cs="Times New Roman"/>
          <w:color w:val="auto"/>
          <w:highlight w:val="none"/>
          <w:lang w:val="en-US" w:eastAsia="zh-CN"/>
        </w:rPr>
        <w:t>江宁区</w:t>
      </w:r>
      <w:r>
        <w:rPr>
          <w:rFonts w:hint="eastAsia" w:cs="Times New Roman"/>
          <w:color w:val="auto"/>
          <w:highlight w:val="none"/>
          <w:lang w:val="en-US" w:eastAsia="zh-CN"/>
        </w:rPr>
        <w:t>国土空间总体规划</w:t>
      </w:r>
      <w:r>
        <w:rPr>
          <w:rFonts w:hint="default" w:ascii="Times New Roman" w:hAnsi="Times New Roman" w:eastAsia="宋体" w:cs="Times New Roman"/>
          <w:color w:val="auto"/>
          <w:highlight w:val="none"/>
          <w:lang w:val="en-US" w:eastAsia="zh-CN"/>
        </w:rPr>
        <w:t>位置图</w:t>
      </w:r>
      <w:bookmarkStart w:id="227" w:name="pindex2917"/>
      <w:bookmarkEnd w:id="227"/>
    </w:p>
    <w:p w14:paraId="50489EB0">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highlight w:val="none"/>
        </w:rPr>
      </w:pPr>
      <w:r>
        <w:rPr>
          <w:rFonts w:hint="default" w:ascii="Times New Roman" w:hAnsi="Times New Roman" w:eastAsia="宋体" w:cs="Times New Roman"/>
          <w:color w:val="auto"/>
          <w:highlight w:val="none"/>
          <w:lang w:val="en-US" w:eastAsia="zh-CN"/>
        </w:rPr>
        <w:t>附图</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eastAsia="zh-CN"/>
        </w:rPr>
        <w:t xml:space="preserve">  </w:t>
      </w:r>
      <w:r>
        <w:rPr>
          <w:rFonts w:hint="eastAsia" w:cs="Times New Roman"/>
          <w:color w:val="auto"/>
          <w:highlight w:val="none"/>
          <w:lang w:val="en-US" w:eastAsia="zh-CN"/>
        </w:rPr>
        <w:t>园区</w:t>
      </w:r>
      <w:r>
        <w:rPr>
          <w:rFonts w:hint="default" w:ascii="Times New Roman" w:hAnsi="Times New Roman" w:eastAsia="宋体" w:cs="Times New Roman"/>
          <w:color w:val="auto"/>
          <w:highlight w:val="none"/>
          <w:lang w:val="en-US" w:eastAsia="zh-CN"/>
        </w:rPr>
        <w:t>平面布置图</w:t>
      </w:r>
      <w:bookmarkStart w:id="228" w:name="pindex2918"/>
      <w:bookmarkEnd w:id="228"/>
    </w:p>
    <w:p w14:paraId="082F507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附图7  生产厂房平面布置图</w:t>
      </w:r>
      <w:bookmarkStart w:id="229" w:name="pindex2919"/>
      <w:bookmarkEnd w:id="229"/>
    </w:p>
    <w:p w14:paraId="40F33EA8">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附图</w:t>
      </w:r>
      <w:r>
        <w:rPr>
          <w:rFonts w:hint="eastAsia" w:cs="Times New Roman"/>
          <w:color w:val="auto"/>
          <w:highlight w:val="none"/>
          <w:lang w:val="en-US" w:eastAsia="zh-CN"/>
        </w:rPr>
        <w:t xml:space="preserve">8 </w:t>
      </w:r>
      <w:r>
        <w:rPr>
          <w:rFonts w:hint="default" w:ascii="Times New Roman" w:hAnsi="Times New Roman" w:eastAsia="宋体" w:cs="Times New Roman"/>
          <w:color w:val="auto"/>
          <w:highlight w:val="none"/>
          <w:lang w:val="en-US" w:eastAsia="zh-CN"/>
        </w:rPr>
        <w:t xml:space="preserve"> </w:t>
      </w:r>
      <w:r>
        <w:rPr>
          <w:rFonts w:hint="eastAsia" w:ascii="Times New Roman" w:hAnsi="Times New Roman" w:eastAsia="宋体" w:cs="Times New Roman"/>
          <w:color w:val="auto"/>
          <w:highlight w:val="none"/>
          <w:lang w:val="en-US" w:eastAsia="zh-CN"/>
        </w:rPr>
        <w:t>环境保护目标分布</w:t>
      </w:r>
      <w:r>
        <w:rPr>
          <w:rFonts w:hint="default" w:ascii="Times New Roman" w:hAnsi="Times New Roman" w:eastAsia="宋体" w:cs="Times New Roman"/>
          <w:color w:val="auto"/>
          <w:highlight w:val="none"/>
          <w:lang w:val="en-US" w:eastAsia="zh-CN"/>
        </w:rPr>
        <w:t>图</w:t>
      </w:r>
      <w:bookmarkStart w:id="230" w:name="pindex2920"/>
      <w:bookmarkEnd w:id="230"/>
    </w:p>
    <w:p w14:paraId="0125A0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highlight w:val="none"/>
          <w:lang w:val="en-US" w:eastAsia="zh-CN"/>
        </w:rPr>
      </w:pPr>
    </w:p>
    <w:p w14:paraId="4DA0337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highlight w:val="none"/>
          <w:lang w:val="en-US" w:eastAsia="zh-CN"/>
        </w:rPr>
      </w:pPr>
    </w:p>
    <w:sectPr>
      <w:pgSz w:w="11906" w:h="16838"/>
      <w:pgMar w:top="1701" w:right="1531" w:bottom="1701" w:left="1531" w:header="851" w:footer="850"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BB5C78-421C-4309-8BC0-2C22F0A1ED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7DD2E60-144A-48E1-AB7E-773D11FA0B1B}"/>
  </w:font>
  <w:font w:name="仿宋体">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EEBAD3E4-C351-4AB3-BC6E-924149A21B31}"/>
  </w:font>
  <w:font w:name="仿宋_GB2312">
    <w:panose1 w:val="02010609030101010101"/>
    <w:charset w:val="86"/>
    <w:family w:val="modern"/>
    <w:pitch w:val="default"/>
    <w:sig w:usb0="00000001" w:usb1="080E0000" w:usb2="00000000" w:usb3="00000000" w:csb0="00040000" w:csb1="00000000"/>
    <w:embedRegular r:id="rId4" w:fontKey="{D3EE83D7-CFD0-4250-8821-6EEBE34EB781}"/>
  </w:font>
  <w:font w:name="微软雅黑">
    <w:panose1 w:val="020B0503020204020204"/>
    <w:charset w:val="86"/>
    <w:family w:val="swiss"/>
    <w:pitch w:val="default"/>
    <w:sig w:usb0="80000287" w:usb1="2ACF3C50" w:usb2="00000016" w:usb3="00000000" w:csb0="0004001F" w:csb1="00000000"/>
    <w:embedRegular r:id="rId5" w:fontKey="{EEC8556D-C14D-494A-A6F2-3B66B7951319}"/>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embedRegular r:id="rId6" w:fontKey="{8068590B-3E5E-450A-AB5C-1764282A2B7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7" w:fontKey="{7C7DACD6-D48E-4063-A336-FBAB0D94F293}"/>
  </w:font>
  <w:font w:name="Wingdings 2">
    <w:panose1 w:val="05020102010507070707"/>
    <w:charset w:val="02"/>
    <w:family w:val="roman"/>
    <w:pitch w:val="default"/>
    <w:sig w:usb0="00000000" w:usb1="00000000" w:usb2="00000000" w:usb3="00000000" w:csb0="80000000" w:csb1="00000000"/>
    <w:embedRegular r:id="rId8" w:fontKey="{F1F9D2CD-CF39-41B0-BF46-453C42CCB716}"/>
  </w:font>
  <w:font w:name="Cambria Math">
    <w:panose1 w:val="02040503050406030204"/>
    <w:charset w:val="00"/>
    <w:family w:val="roman"/>
    <w:pitch w:val="default"/>
    <w:sig w:usb0="E00006FF" w:usb1="420024FF" w:usb2="02000000" w:usb3="00000000" w:csb0="2000019F" w:csb1="00000000"/>
    <w:embedRegular r:id="rId9" w:fontKey="{342633DB-2549-42E2-B654-637E6D91B731}"/>
  </w:font>
  <w:font w:name="WPSEMBED8">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WPSEMBED9">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335C4">
    <w:pPr>
      <w:pStyle w:val="21"/>
      <w:framePr w:wrap="around" w:vAnchor="text" w:hAnchor="margin" w:xAlign="outside" w:y="1"/>
      <w:ind w:firstLine="560"/>
      <w:rPr>
        <w:rStyle w:val="37"/>
        <w:rFonts w:ascii="宋体" w:hAnsi="宋体"/>
        <w:sz w:val="28"/>
        <w:szCs w:val="28"/>
      </w:rPr>
    </w:pPr>
  </w:p>
  <w:p w14:paraId="0FA29399">
    <w:pPr>
      <w:pStyle w:val="2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D6F77">
    <w:pPr>
      <w:pStyle w:val="21"/>
      <w:framePr w:wrap="around" w:vAnchor="text" w:hAnchor="margin" w:xAlign="center" w:y="1"/>
      <w:ind w:firstLine="360"/>
      <w:rPr>
        <w:rStyle w:val="37"/>
      </w:rPr>
    </w:pPr>
    <w:r>
      <w:fldChar w:fldCharType="begin"/>
    </w:r>
    <w:r>
      <w:rPr>
        <w:rStyle w:val="37"/>
      </w:rPr>
      <w:instrText xml:space="preserve">PAGE  </w:instrText>
    </w:r>
    <w:r>
      <w:fldChar w:fldCharType="end"/>
    </w:r>
  </w:p>
  <w:p w14:paraId="167A18DA">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08B3A">
    <w:pPr>
      <w:pStyle w:val="2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7F1AC">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677F1AC">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8FF3F">
    <w:pPr>
      <w:pStyle w:val="21"/>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12EBC">
                          <w:pPr>
                            <w:pStyle w:val="21"/>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7D12EBC">
                    <w:pPr>
                      <w:pStyle w:val="21"/>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D7865">
    <w:pPr>
      <w:pStyle w:val="21"/>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EC746">
                          <w:pPr>
                            <w:pStyle w:val="21"/>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D9EC746">
                    <w:pPr>
                      <w:pStyle w:val="21"/>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E7F03"/>
    <w:multiLevelType w:val="multilevel"/>
    <w:tmpl w:val="884E7F03"/>
    <w:lvl w:ilvl="0" w:tentative="0">
      <w:start w:val="0"/>
      <w:numFmt w:val="chineseCounting"/>
      <w:suff w:val="space"/>
      <w:lvlText w:val="第%1章 "/>
      <w:lvlJc w:val="center"/>
      <w:pPr>
        <w:tabs>
          <w:tab w:val="left" w:pos="0"/>
        </w:tabs>
        <w:ind w:left="0" w:firstLine="0"/>
      </w:pPr>
      <w:rPr>
        <w:rFonts w:hint="eastAsia"/>
        <w:sz w:val="36"/>
      </w:rPr>
    </w:lvl>
    <w:lvl w:ilvl="1" w:tentative="0">
      <w:start w:val="1"/>
      <w:numFmt w:val="decimal"/>
      <w:isLgl/>
      <w:suff w:val="space"/>
      <w:lvlText w:val="%1.%2"/>
      <w:lvlJc w:val="left"/>
      <w:pPr>
        <w:tabs>
          <w:tab w:val="left" w:pos="0"/>
        </w:tabs>
        <w:ind w:left="0" w:firstLine="0"/>
      </w:pPr>
      <w:rPr>
        <w:rFonts w:hint="eastAsia" w:ascii="Times New Roman" w:hAnsi="Times New Roman" w:eastAsia="宋体" w:cs="宋体"/>
      </w:rPr>
    </w:lvl>
    <w:lvl w:ilvl="2" w:tentative="0">
      <w:start w:val="1"/>
      <w:numFmt w:val="decimal"/>
      <w:isLgl/>
      <w:suff w:val="space"/>
      <w:lvlText w:val="%1.%2.%3."/>
      <w:lvlJc w:val="left"/>
      <w:pPr>
        <w:tabs>
          <w:tab w:val="left" w:pos="0"/>
        </w:tabs>
        <w:ind w:left="0" w:firstLine="0"/>
      </w:pPr>
      <w:rPr>
        <w:rFonts w:hint="eastAsia" w:ascii="Times New Roman" w:hAnsi="Times New Roman" w:eastAsia="宋体" w:cs="宋体"/>
      </w:rPr>
    </w:lvl>
    <w:lvl w:ilvl="3" w:tentative="0">
      <w:start w:val="1"/>
      <w:numFmt w:val="decimal"/>
      <w:isLgl/>
      <w:suff w:val="space"/>
      <w:lvlText w:val="%1.%2.%3.%4"/>
      <w:lvlJc w:val="left"/>
      <w:pPr>
        <w:tabs>
          <w:tab w:val="left" w:pos="420"/>
        </w:tabs>
        <w:ind w:left="0" w:firstLine="0"/>
      </w:pPr>
      <w:rPr>
        <w:rFonts w:hint="eastAsia" w:ascii="Times New Roman" w:hAnsi="Times New Roman" w:eastAsia="宋体" w:cs="宋体"/>
        <w:sz w:val="24"/>
      </w:rPr>
    </w:lvl>
    <w:lvl w:ilvl="4" w:tentative="0">
      <w:start w:val="1"/>
      <w:numFmt w:val="decimal"/>
      <w:lvlRestart w:val="2"/>
      <w:pStyle w:val="7"/>
      <w:isLgl/>
      <w:suff w:val="space"/>
      <w:lvlText w:val="表%1.%2-%5"/>
      <w:lvlJc w:val="left"/>
      <w:pPr>
        <w:tabs>
          <w:tab w:val="left" w:pos="420"/>
        </w:tabs>
        <w:ind w:left="567" w:hanging="567"/>
      </w:pPr>
      <w:rPr>
        <w:rFonts w:hint="eastAsia" w:ascii="Times New Roman" w:hAnsi="Times New Roman" w:eastAsia="宋体" w:cs="宋体"/>
        <w:sz w:val="21"/>
      </w:rPr>
    </w:lvl>
    <w:lvl w:ilvl="5" w:tentative="0">
      <w:start w:val="1"/>
      <w:numFmt w:val="decimal"/>
      <w:lvlRestart w:val="2"/>
      <w:isLgl/>
      <w:suff w:val="space"/>
      <w:lvlText w:val="图%1.%2-%6"/>
      <w:lvlJc w:val="left"/>
      <w:pPr>
        <w:tabs>
          <w:tab w:val="left" w:pos="420"/>
        </w:tabs>
        <w:ind w:left="0" w:firstLine="0"/>
      </w:pPr>
      <w:rPr>
        <w:rFonts w:hint="eastAsia" w:ascii="Times New Roman" w:hAnsi="Times New Roman" w:eastAsia="宋体" w:cs="宋体"/>
        <w:sz w:val="21"/>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8993C133"/>
    <w:multiLevelType w:val="singleLevel"/>
    <w:tmpl w:val="8993C133"/>
    <w:lvl w:ilvl="0" w:tentative="0">
      <w:start w:val="1"/>
      <w:numFmt w:val="decimal"/>
      <w:suff w:val="nothing"/>
      <w:lvlText w:val="%1"/>
      <w:lvlJc w:val="left"/>
      <w:pPr>
        <w:ind w:left="425" w:leftChars="0" w:hanging="425" w:firstLineChars="0"/>
      </w:pPr>
      <w:rPr>
        <w:rFonts w:hint="default"/>
      </w:rPr>
    </w:lvl>
  </w:abstractNum>
  <w:abstractNum w:abstractNumId="2">
    <w:nsid w:val="92642E23"/>
    <w:multiLevelType w:val="multilevel"/>
    <w:tmpl w:val="92642E23"/>
    <w:lvl w:ilvl="0" w:tentative="0">
      <w:start w:val="1"/>
      <w:numFmt w:val="decimal"/>
      <w:suff w:val="space"/>
      <w:lvlText w:val="%1."/>
      <w:lvlJc w:val="left"/>
      <w:pPr>
        <w:tabs>
          <w:tab w:val="left" w:pos="0"/>
        </w:tabs>
        <w:ind w:left="0" w:firstLine="0"/>
      </w:pPr>
      <w:rPr>
        <w:rFonts w:hint="default" w:ascii="Times New Roman" w:hAnsi="Times New Roman" w:eastAsia="宋体" w:cs="宋体"/>
        <w:b/>
        <w:sz w:val="32"/>
      </w:rPr>
    </w:lvl>
    <w:lvl w:ilvl="1" w:tentative="0">
      <w:start w:val="1"/>
      <w:numFmt w:val="decimal"/>
      <w:suff w:val="space"/>
      <w:lvlText w:val="%1.%2."/>
      <w:lvlJc w:val="left"/>
      <w:pPr>
        <w:tabs>
          <w:tab w:val="left" w:pos="0"/>
        </w:tabs>
        <w:ind w:left="0" w:firstLine="0"/>
      </w:pPr>
      <w:rPr>
        <w:rFonts w:hint="default" w:ascii="Times New Roman" w:hAnsi="Times New Roman" w:eastAsia="宋体" w:cs="宋体"/>
        <w:b/>
        <w:sz w:val="30"/>
      </w:rPr>
    </w:lvl>
    <w:lvl w:ilvl="2" w:tentative="0">
      <w:start w:val="1"/>
      <w:numFmt w:val="decimal"/>
      <w:suff w:val="space"/>
      <w:lvlText w:val="%1.%2.%3."/>
      <w:lvlJc w:val="left"/>
      <w:pPr>
        <w:tabs>
          <w:tab w:val="left" w:pos="0"/>
        </w:tabs>
        <w:ind w:left="0" w:firstLine="0"/>
      </w:pPr>
      <w:rPr>
        <w:rFonts w:hint="default" w:ascii="Times New Roman" w:hAnsi="Times New Roman" w:eastAsia="宋体" w:cs="宋体"/>
        <w:b/>
        <w:sz w:val="28"/>
      </w:rPr>
    </w:lvl>
    <w:lvl w:ilvl="3" w:tentative="0">
      <w:start w:val="1"/>
      <w:numFmt w:val="decimal"/>
      <w:suff w:val="space"/>
      <w:lvlText w:val="%1.%2.%3.%4."/>
      <w:lvlJc w:val="left"/>
      <w:pPr>
        <w:tabs>
          <w:tab w:val="left" w:pos="420"/>
        </w:tabs>
        <w:ind w:left="0" w:firstLine="420"/>
      </w:pPr>
      <w:rPr>
        <w:rFonts w:hint="default" w:ascii="Times New Roman" w:hAnsi="Times New Roman" w:eastAsia="宋体" w:cs="Times New Roman"/>
        <w:b/>
        <w:sz w:val="24"/>
      </w:rPr>
    </w:lvl>
    <w:lvl w:ilvl="4" w:tentative="0">
      <w:start w:val="1"/>
      <w:numFmt w:val="decimal"/>
      <w:lvlRestart w:val="2"/>
      <w:pStyle w:val="61"/>
      <w:suff w:val="space"/>
      <w:lvlText w:val="表%1.%2-%5"/>
      <w:lvlJc w:val="center"/>
      <w:pPr>
        <w:tabs>
          <w:tab w:val="left" w:pos="0"/>
        </w:tabs>
        <w:ind w:left="480" w:firstLine="0"/>
      </w:pPr>
      <w:rPr>
        <w:rFonts w:hint="default" w:ascii="Times New Roman" w:hAnsi="Times New Roman" w:eastAsia="宋体" w:cs="Times New Roman"/>
        <w:b/>
        <w:color w:val="auto"/>
        <w:sz w:val="24"/>
      </w:rPr>
    </w:lvl>
    <w:lvl w:ilvl="5" w:tentative="0">
      <w:start w:val="1"/>
      <w:numFmt w:val="decimal"/>
      <w:lvlRestart w:val="2"/>
      <w:suff w:val="space"/>
      <w:lvlText w:val="图%1.%2-%6"/>
      <w:lvlJc w:val="center"/>
      <w:pPr>
        <w:tabs>
          <w:tab w:val="left" w:pos="0"/>
        </w:tabs>
        <w:ind w:left="0" w:firstLine="0"/>
      </w:pPr>
      <w:rPr>
        <w:rFonts w:hint="default" w:ascii="Times New Roman" w:hAnsi="Times New Roman" w:eastAsia="宋体" w:cs="Times New Roman"/>
        <w:b/>
        <w:sz w:val="24"/>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98EFE461"/>
    <w:multiLevelType w:val="singleLevel"/>
    <w:tmpl w:val="98EFE461"/>
    <w:lvl w:ilvl="0" w:tentative="0">
      <w:start w:val="1"/>
      <w:numFmt w:val="decimal"/>
      <w:pStyle w:val="52"/>
      <w:suff w:val="space"/>
      <w:lvlText w:val="表4-%1"/>
      <w:lvlJc w:val="center"/>
      <w:pPr>
        <w:ind w:left="5518" w:hanging="5518"/>
      </w:pPr>
      <w:rPr>
        <w:rFonts w:hint="default"/>
        <w:highlight w:val="none"/>
      </w:rPr>
    </w:lvl>
  </w:abstractNum>
  <w:abstractNum w:abstractNumId="4">
    <w:nsid w:val="A47899D4"/>
    <w:multiLevelType w:val="singleLevel"/>
    <w:tmpl w:val="A47899D4"/>
    <w:lvl w:ilvl="0" w:tentative="0">
      <w:start w:val="1"/>
      <w:numFmt w:val="decimal"/>
      <w:suff w:val="nothing"/>
      <w:lvlText w:val="%1"/>
      <w:lvlJc w:val="left"/>
      <w:pPr>
        <w:ind w:left="0" w:leftChars="0" w:firstLine="0" w:firstLineChars="0"/>
      </w:pPr>
      <w:rPr>
        <w:rFonts w:hint="default"/>
      </w:rPr>
    </w:lvl>
  </w:abstractNum>
  <w:abstractNum w:abstractNumId="5">
    <w:nsid w:val="B0438FC3"/>
    <w:multiLevelType w:val="singleLevel"/>
    <w:tmpl w:val="B0438FC3"/>
    <w:lvl w:ilvl="0" w:tentative="0">
      <w:start w:val="1"/>
      <w:numFmt w:val="decimal"/>
      <w:pStyle w:val="5"/>
      <w:suff w:val="nothing"/>
      <w:lvlText w:val="表4-%1  "/>
      <w:lvlJc w:val="left"/>
      <w:pPr>
        <w:tabs>
          <w:tab w:val="left" w:pos="0"/>
        </w:tabs>
        <w:ind w:left="2640" w:firstLine="0"/>
      </w:pPr>
      <w:rPr>
        <w:rFonts w:hint="default" w:ascii="Times New Roman" w:hAnsi="Times New Roman" w:eastAsia="宋体" w:cs="宋体"/>
      </w:rPr>
    </w:lvl>
  </w:abstractNum>
  <w:abstractNum w:abstractNumId="6">
    <w:nsid w:val="B1F4DA07"/>
    <w:multiLevelType w:val="singleLevel"/>
    <w:tmpl w:val="B1F4DA07"/>
    <w:lvl w:ilvl="0" w:tentative="0">
      <w:start w:val="1"/>
      <w:numFmt w:val="decimal"/>
      <w:pStyle w:val="49"/>
      <w:suff w:val="space"/>
      <w:lvlText w:val="表1-%1"/>
      <w:lvlJc w:val="center"/>
      <w:pPr>
        <w:tabs>
          <w:tab w:val="left" w:pos="0"/>
        </w:tabs>
        <w:ind w:left="0" w:firstLine="0"/>
      </w:pPr>
      <w:rPr>
        <w:rFonts w:hint="default"/>
      </w:rPr>
    </w:lvl>
  </w:abstractNum>
  <w:abstractNum w:abstractNumId="7">
    <w:nsid w:val="B4BC719B"/>
    <w:multiLevelType w:val="singleLevel"/>
    <w:tmpl w:val="B4BC719B"/>
    <w:lvl w:ilvl="0" w:tentative="0">
      <w:start w:val="1"/>
      <w:numFmt w:val="decimal"/>
      <w:pStyle w:val="50"/>
      <w:suff w:val="space"/>
      <w:lvlText w:val="表2-%1"/>
      <w:lvlJc w:val="left"/>
      <w:pPr>
        <w:ind w:left="0" w:firstLine="0"/>
      </w:pPr>
      <w:rPr>
        <w:rFonts w:hint="default"/>
        <w:color w:val="auto"/>
      </w:rPr>
    </w:lvl>
  </w:abstractNum>
  <w:abstractNum w:abstractNumId="8">
    <w:nsid w:val="BA413B0A"/>
    <w:multiLevelType w:val="multilevel"/>
    <w:tmpl w:val="BA413B0A"/>
    <w:lvl w:ilvl="0" w:tentative="0">
      <w:start w:val="1"/>
      <w:numFmt w:val="decimal"/>
      <w:pStyle w:val="18"/>
      <w:suff w:val="space"/>
      <w:lvlText w:val="图1-%1"/>
      <w:lvlJc w:val="left"/>
      <w:pPr>
        <w:tabs>
          <w:tab w:val="left" w:pos="0"/>
        </w:tabs>
        <w:ind w:left="425" w:hanging="425"/>
      </w:pPr>
      <w:rPr>
        <w:rFonts w:hint="default" w:ascii="Times New Roman" w:hAnsi="Times New Roman" w:eastAsia="宋体" w:cs="仿宋"/>
        <w:b/>
        <w:sz w:val="21"/>
        <w:szCs w:val="21"/>
      </w:rPr>
    </w:lvl>
    <w:lvl w:ilvl="1" w:tentative="0">
      <w:start w:val="1"/>
      <w:numFmt w:val="decimal"/>
      <w:suff w:val="space"/>
      <w:lvlText w:val="%1.%2."/>
      <w:lvlJc w:val="left"/>
      <w:pPr>
        <w:tabs>
          <w:tab w:val="left" w:pos="420"/>
        </w:tabs>
        <w:ind w:left="567" w:hanging="567"/>
      </w:pPr>
      <w:rPr>
        <w:rFonts w:hint="default" w:ascii="宋体" w:hAnsi="宋体" w:eastAsia="宋体" w:cs="宋体"/>
        <w:b/>
        <w:sz w:val="30"/>
      </w:rPr>
    </w:lvl>
    <w:lvl w:ilvl="2" w:tentative="0">
      <w:start w:val="1"/>
      <w:numFmt w:val="decimal"/>
      <w:suff w:val="space"/>
      <w:lvlText w:val="%1.%2.%3."/>
      <w:lvlJc w:val="left"/>
      <w:pPr>
        <w:tabs>
          <w:tab w:val="left" w:pos="420"/>
        </w:tabs>
        <w:ind w:left="425" w:hanging="425"/>
      </w:pPr>
      <w:rPr>
        <w:rFonts w:hint="default" w:ascii="Times New Roman" w:hAnsi="Times New Roman" w:eastAsia="宋体" w:cs="宋体"/>
        <w:b/>
        <w:sz w:val="28"/>
      </w:rPr>
    </w:lvl>
    <w:lvl w:ilvl="3" w:tentative="0">
      <w:start w:val="1"/>
      <w:numFmt w:val="decimal"/>
      <w:suff w:val="space"/>
      <w:lvlText w:val="%1.%2.%3.%4."/>
      <w:lvlJc w:val="left"/>
      <w:pPr>
        <w:tabs>
          <w:tab w:val="left" w:pos="420"/>
        </w:tabs>
        <w:ind w:left="425" w:hanging="425"/>
      </w:pPr>
      <w:rPr>
        <w:rFonts w:hint="default" w:ascii="Times New Roman" w:hAnsi="Times New Roman" w:eastAsia="宋体" w:cs="宋体"/>
        <w:b/>
        <w:sz w:val="24"/>
      </w:rPr>
    </w:lvl>
    <w:lvl w:ilvl="4" w:tentative="0">
      <w:start w:val="1"/>
      <w:numFmt w:val="decimal"/>
      <w:lvlRestart w:val="2"/>
      <w:suff w:val="space"/>
      <w:lvlText w:val="表%1-%5"/>
      <w:lvlJc w:val="left"/>
      <w:pPr>
        <w:tabs>
          <w:tab w:val="left" w:pos="0"/>
        </w:tabs>
        <w:ind w:left="425" w:hanging="425"/>
      </w:pPr>
      <w:rPr>
        <w:rFonts w:hint="default" w:ascii="Times New Roman" w:hAnsi="Times New Roman" w:eastAsia="宋体" w:cs="仿宋"/>
        <w:b/>
        <w:sz w:val="21"/>
        <w:szCs w:val="21"/>
      </w:rPr>
    </w:lvl>
    <w:lvl w:ilvl="5" w:tentative="0">
      <w:start w:val="1"/>
      <w:numFmt w:val="decimal"/>
      <w:lvlRestart w:val="2"/>
      <w:suff w:val="space"/>
      <w:lvlText w:val="图%1.%2-%6"/>
      <w:lvlJc w:val="left"/>
      <w:pPr>
        <w:tabs>
          <w:tab w:val="left" w:pos="0"/>
        </w:tabs>
        <w:ind w:left="425" w:hanging="425"/>
      </w:pPr>
      <w:rPr>
        <w:rFonts w:hint="default" w:ascii="Times New Roman" w:hAnsi="Times New Roman" w:eastAsia="宋体" w:cs="宋体"/>
        <w:b/>
        <w:sz w:val="21"/>
      </w:rPr>
    </w:lvl>
    <w:lvl w:ilvl="6" w:tentative="0">
      <w:start w:val="1"/>
      <w:numFmt w:val="decimal"/>
      <w:lvlText w:val="%1.%2.%3.%4.%5.%6.%7."/>
      <w:lvlJc w:val="left"/>
      <w:pPr>
        <w:tabs>
          <w:tab w:val="left" w:pos="420"/>
        </w:tabs>
        <w:ind w:left="1275" w:hanging="1275"/>
      </w:pPr>
      <w:rPr>
        <w:rFonts w:hint="default" w:ascii="宋体" w:hAnsi="宋体" w:eastAsia="宋体" w:cs="宋体"/>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BA989682"/>
    <w:multiLevelType w:val="singleLevel"/>
    <w:tmpl w:val="BA989682"/>
    <w:lvl w:ilvl="0" w:tentative="0">
      <w:start w:val="1"/>
      <w:numFmt w:val="decimal"/>
      <w:suff w:val="nothing"/>
      <w:lvlText w:val="%1）"/>
      <w:lvlJc w:val="left"/>
    </w:lvl>
  </w:abstractNum>
  <w:abstractNum w:abstractNumId="10">
    <w:nsid w:val="D64D9287"/>
    <w:multiLevelType w:val="singleLevel"/>
    <w:tmpl w:val="D64D9287"/>
    <w:lvl w:ilvl="0" w:tentative="0">
      <w:start w:val="1"/>
      <w:numFmt w:val="decimal"/>
      <w:pStyle w:val="51"/>
      <w:suff w:val="space"/>
      <w:lvlText w:val="表3-%1"/>
      <w:lvlJc w:val="left"/>
      <w:pPr>
        <w:tabs>
          <w:tab w:val="left" w:pos="420"/>
        </w:tabs>
        <w:ind w:left="0" w:firstLine="0"/>
      </w:pPr>
      <w:rPr>
        <w:rFonts w:hint="default"/>
      </w:rPr>
    </w:lvl>
  </w:abstractNum>
  <w:abstractNum w:abstractNumId="11">
    <w:nsid w:val="E9D698A3"/>
    <w:multiLevelType w:val="multilevel"/>
    <w:tmpl w:val="E9D698A3"/>
    <w:lvl w:ilvl="0" w:tentative="0">
      <w:start w:val="1"/>
      <w:numFmt w:val="chineseCounting"/>
      <w:suff w:val="space"/>
      <w:lvlText w:val="第%1章 "/>
      <w:lvlJc w:val="center"/>
      <w:pPr>
        <w:tabs>
          <w:tab w:val="left" w:pos="0"/>
        </w:tabs>
        <w:ind w:left="0" w:leftChars="0" w:firstLine="0" w:firstLineChars="0"/>
      </w:pPr>
      <w:rPr>
        <w:rFonts w:hint="eastAsia"/>
        <w:sz w:val="32"/>
      </w:rPr>
    </w:lvl>
    <w:lvl w:ilvl="1" w:tentative="0">
      <w:start w:val="1"/>
      <w:numFmt w:val="decimal"/>
      <w:isLgl/>
      <w:suff w:val="space"/>
      <w:lvlText w:val="%1.%2"/>
      <w:lvlJc w:val="left"/>
      <w:pPr>
        <w:tabs>
          <w:tab w:val="left" w:pos="0"/>
        </w:tabs>
        <w:ind w:left="0" w:leftChars="0" w:firstLine="0" w:firstLineChars="0"/>
      </w:pPr>
      <w:rPr>
        <w:rFonts w:hint="eastAsia" w:ascii="Times New Roman" w:hAnsi="Times New Roman" w:eastAsia="宋体" w:cs="宋体"/>
        <w:sz w:val="30"/>
      </w:rPr>
    </w:lvl>
    <w:lvl w:ilvl="2" w:tentative="0">
      <w:start w:val="1"/>
      <w:numFmt w:val="decimal"/>
      <w:isLgl/>
      <w:suff w:val="space"/>
      <w:lvlText w:val="%1.%2.%3."/>
      <w:lvlJc w:val="left"/>
      <w:pPr>
        <w:tabs>
          <w:tab w:val="left" w:pos="0"/>
        </w:tabs>
        <w:ind w:left="0" w:leftChars="0" w:firstLine="0" w:firstLineChars="0"/>
      </w:pPr>
      <w:rPr>
        <w:rFonts w:hint="eastAsia" w:ascii="Times New Roman" w:hAnsi="Times New Roman" w:eastAsia="宋体" w:cs="宋体"/>
        <w:sz w:val="30"/>
      </w:rPr>
    </w:lvl>
    <w:lvl w:ilvl="3" w:tentative="0">
      <w:start w:val="1"/>
      <w:numFmt w:val="decimal"/>
      <w:isLgl/>
      <w:suff w:val="space"/>
      <w:lvlText w:val="%1.%2.%3.%4"/>
      <w:lvlJc w:val="left"/>
      <w:pPr>
        <w:tabs>
          <w:tab w:val="left" w:pos="420"/>
        </w:tabs>
        <w:ind w:left="0" w:leftChars="0" w:firstLine="0" w:firstLineChars="0"/>
      </w:pPr>
      <w:rPr>
        <w:rFonts w:hint="eastAsia" w:ascii="Times New Roman" w:hAnsi="Times New Roman" w:eastAsia="宋体" w:cs="宋体"/>
        <w:sz w:val="24"/>
      </w:rPr>
    </w:lvl>
    <w:lvl w:ilvl="4" w:tentative="0">
      <w:start w:val="1"/>
      <w:numFmt w:val="decimal"/>
      <w:lvlRestart w:val="2"/>
      <w:pStyle w:val="42"/>
      <w:isLgl/>
      <w:suff w:val="space"/>
      <w:lvlText w:val="表%1.%2-%5"/>
      <w:lvlJc w:val="left"/>
      <w:pPr>
        <w:tabs>
          <w:tab w:val="left" w:pos="420"/>
        </w:tabs>
        <w:ind w:left="567" w:leftChars="0" w:hanging="567" w:firstLineChars="0"/>
      </w:pPr>
      <w:rPr>
        <w:rFonts w:hint="eastAsia" w:ascii="Times New Roman" w:hAnsi="Times New Roman" w:eastAsia="宋体" w:cs="宋体"/>
        <w:sz w:val="24"/>
      </w:rPr>
    </w:lvl>
    <w:lvl w:ilvl="5" w:tentative="0">
      <w:start w:val="1"/>
      <w:numFmt w:val="decimal"/>
      <w:lvlRestart w:val="2"/>
      <w:isLgl/>
      <w:suff w:val="space"/>
      <w:lvlText w:val="图%1.%2-%6"/>
      <w:lvlJc w:val="left"/>
      <w:pPr>
        <w:tabs>
          <w:tab w:val="left" w:pos="420"/>
        </w:tabs>
        <w:ind w:left="0" w:leftChars="0" w:firstLine="0" w:firstLineChars="0"/>
      </w:pPr>
      <w:rPr>
        <w:rFonts w:hint="eastAsia" w:ascii="Times New Roman" w:hAnsi="Times New Roman" w:eastAsia="宋体" w:cs="宋体"/>
        <w:sz w:val="24"/>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2">
    <w:nsid w:val="EB777FA3"/>
    <w:multiLevelType w:val="singleLevel"/>
    <w:tmpl w:val="EB777FA3"/>
    <w:lvl w:ilvl="0" w:tentative="0">
      <w:start w:val="1"/>
      <w:numFmt w:val="decimal"/>
      <w:suff w:val="nothing"/>
      <w:lvlText w:val="%1"/>
      <w:lvlJc w:val="center"/>
      <w:pPr>
        <w:tabs>
          <w:tab w:val="left" w:pos="0"/>
        </w:tabs>
        <w:ind w:left="0" w:leftChars="0" w:firstLine="0" w:firstLineChars="0"/>
      </w:pPr>
      <w:rPr>
        <w:rFonts w:hint="default"/>
      </w:rPr>
    </w:lvl>
  </w:abstractNum>
  <w:abstractNum w:abstractNumId="13">
    <w:nsid w:val="FFFFFFFB"/>
    <w:multiLevelType w:val="multilevel"/>
    <w:tmpl w:val="FFFFFFFB"/>
    <w:lvl w:ilvl="0" w:tentative="0">
      <w:start w:val="1"/>
      <w:numFmt w:val="upperRoman"/>
      <w:lvlText w:val="6-%1."/>
      <w:legacy w:legacy="1" w:legacySpace="0" w:legacyIndent="425"/>
      <w:lvlJc w:val="left"/>
      <w:pPr>
        <w:ind w:left="425" w:hanging="425"/>
      </w:pPr>
    </w:lvl>
    <w:lvl w:ilvl="1" w:tentative="0">
      <w:start w:val="1"/>
      <w:numFmt w:val="upperLetter"/>
      <w:lvlText w:val="%2."/>
      <w:legacy w:legacy="1" w:legacySpace="0" w:legacyIndent="425"/>
      <w:lvlJc w:val="left"/>
      <w:pPr>
        <w:ind w:left="850" w:hanging="425"/>
      </w:pPr>
    </w:lvl>
    <w:lvl w:ilvl="2" w:tentative="0">
      <w:start w:val="1"/>
      <w:numFmt w:val="decimal"/>
      <w:pStyle w:val="4"/>
      <w:lvlText w:val="%3."/>
      <w:legacy w:legacy="1" w:legacySpace="0" w:legacyIndent="425"/>
      <w:lvlJc w:val="left"/>
      <w:pPr>
        <w:ind w:left="1385" w:hanging="425"/>
      </w:pPr>
    </w:lvl>
    <w:lvl w:ilvl="3" w:tentative="0">
      <w:start w:val="1"/>
      <w:numFmt w:val="lowerLetter"/>
      <w:lvlText w:val="%4)"/>
      <w:legacy w:legacy="1" w:legacySpace="0" w:legacyIndent="425"/>
      <w:lvlJc w:val="left"/>
      <w:pPr>
        <w:ind w:left="1700" w:hanging="425"/>
      </w:pPr>
    </w:lvl>
    <w:lvl w:ilvl="4" w:tentative="0">
      <w:start w:val="1"/>
      <w:numFmt w:val="decimal"/>
      <w:lvlText w:val="(%5)"/>
      <w:legacy w:legacy="1" w:legacySpace="0" w:legacyIndent="425"/>
      <w:lvlJc w:val="left"/>
      <w:pPr>
        <w:ind w:left="2125" w:hanging="425"/>
      </w:pPr>
    </w:lvl>
    <w:lvl w:ilvl="5" w:tentative="0">
      <w:start w:val="1"/>
      <w:numFmt w:val="lowerLetter"/>
      <w:lvlText w:val="(%6)"/>
      <w:legacy w:legacy="1" w:legacySpace="0" w:legacyIndent="425"/>
      <w:lvlJc w:val="left"/>
      <w:pPr>
        <w:ind w:left="2550" w:hanging="425"/>
      </w:pPr>
    </w:lvl>
    <w:lvl w:ilvl="6" w:tentative="0">
      <w:start w:val="1"/>
      <w:numFmt w:val="lowerRoman"/>
      <w:lvlText w:val="(%7)"/>
      <w:legacy w:legacy="1" w:legacySpace="0" w:legacyIndent="425"/>
      <w:lvlJc w:val="left"/>
      <w:pPr>
        <w:ind w:left="2975" w:hanging="425"/>
      </w:pPr>
    </w:lvl>
    <w:lvl w:ilvl="7" w:tentative="0">
      <w:start w:val="1"/>
      <w:numFmt w:val="lowerLetter"/>
      <w:lvlText w:val="(%8)"/>
      <w:legacy w:legacy="1" w:legacySpace="0" w:legacyIndent="425"/>
      <w:lvlJc w:val="left"/>
      <w:pPr>
        <w:ind w:left="3400" w:hanging="425"/>
      </w:pPr>
    </w:lvl>
    <w:lvl w:ilvl="8" w:tentative="0">
      <w:start w:val="1"/>
      <w:numFmt w:val="lowerRoman"/>
      <w:lvlText w:val="(%9)"/>
      <w:legacy w:legacy="1" w:legacySpace="0" w:legacyIndent="425"/>
      <w:lvlJc w:val="left"/>
      <w:pPr>
        <w:ind w:left="3825" w:hanging="425"/>
      </w:pPr>
    </w:lvl>
  </w:abstractNum>
  <w:abstractNum w:abstractNumId="14">
    <w:nsid w:val="048350E7"/>
    <w:multiLevelType w:val="singleLevel"/>
    <w:tmpl w:val="048350E7"/>
    <w:lvl w:ilvl="0" w:tentative="0">
      <w:start w:val="1"/>
      <w:numFmt w:val="decimal"/>
      <w:suff w:val="nothing"/>
      <w:lvlText w:val="%1"/>
      <w:lvlJc w:val="left"/>
      <w:pPr>
        <w:ind w:left="425" w:leftChars="0" w:hanging="425" w:firstLineChars="0"/>
      </w:pPr>
      <w:rPr>
        <w:rFonts w:hint="default"/>
      </w:rPr>
    </w:lvl>
  </w:abstractNum>
  <w:abstractNum w:abstractNumId="15">
    <w:nsid w:val="04AA8411"/>
    <w:multiLevelType w:val="singleLevel"/>
    <w:tmpl w:val="04AA8411"/>
    <w:lvl w:ilvl="0" w:tentative="0">
      <w:start w:val="1"/>
      <w:numFmt w:val="decimal"/>
      <w:suff w:val="nothing"/>
      <w:lvlText w:val="%1"/>
      <w:lvlJc w:val="center"/>
      <w:pPr>
        <w:tabs>
          <w:tab w:val="left" w:pos="0"/>
        </w:tabs>
        <w:ind w:left="0" w:leftChars="0" w:firstLine="0" w:firstLineChars="0"/>
      </w:pPr>
      <w:rPr>
        <w:rFonts w:hint="default"/>
      </w:rPr>
    </w:lvl>
  </w:abstractNum>
  <w:abstractNum w:abstractNumId="16">
    <w:nsid w:val="086A5FBF"/>
    <w:multiLevelType w:val="singleLevel"/>
    <w:tmpl w:val="086A5FBF"/>
    <w:lvl w:ilvl="0" w:tentative="0">
      <w:start w:val="1"/>
      <w:numFmt w:val="decimal"/>
      <w:suff w:val="nothing"/>
      <w:lvlText w:val="%1"/>
      <w:lvlJc w:val="left"/>
      <w:pPr>
        <w:ind w:left="425" w:leftChars="0" w:hanging="425" w:firstLineChars="0"/>
      </w:pPr>
      <w:rPr>
        <w:rFonts w:hint="default"/>
      </w:rPr>
    </w:lvl>
  </w:abstractNum>
  <w:abstractNum w:abstractNumId="17">
    <w:nsid w:val="0AED7C7F"/>
    <w:multiLevelType w:val="singleLevel"/>
    <w:tmpl w:val="0AED7C7F"/>
    <w:lvl w:ilvl="0" w:tentative="0">
      <w:start w:val="1"/>
      <w:numFmt w:val="decimal"/>
      <w:suff w:val="space"/>
      <w:lvlText w:val="%1."/>
      <w:lvlJc w:val="left"/>
    </w:lvl>
  </w:abstractNum>
  <w:abstractNum w:abstractNumId="18">
    <w:nsid w:val="16361425"/>
    <w:multiLevelType w:val="singleLevel"/>
    <w:tmpl w:val="16361425"/>
    <w:lvl w:ilvl="0" w:tentative="0">
      <w:start w:val="2"/>
      <w:numFmt w:val="chineseCounting"/>
      <w:suff w:val="nothing"/>
      <w:lvlText w:val="%1、"/>
      <w:lvlJc w:val="left"/>
      <w:rPr>
        <w:rFonts w:hint="eastAsia"/>
      </w:rPr>
    </w:lvl>
  </w:abstractNum>
  <w:abstractNum w:abstractNumId="19">
    <w:nsid w:val="25EFC997"/>
    <w:multiLevelType w:val="singleLevel"/>
    <w:tmpl w:val="25EFC997"/>
    <w:lvl w:ilvl="0" w:tentative="0">
      <w:start w:val="1"/>
      <w:numFmt w:val="decimal"/>
      <w:suff w:val="nothing"/>
      <w:lvlText w:val="%1）"/>
      <w:lvlJc w:val="left"/>
    </w:lvl>
  </w:abstractNum>
  <w:abstractNum w:abstractNumId="20">
    <w:nsid w:val="2AABDD18"/>
    <w:multiLevelType w:val="singleLevel"/>
    <w:tmpl w:val="2AABDD18"/>
    <w:lvl w:ilvl="0" w:tentative="0">
      <w:start w:val="1"/>
      <w:numFmt w:val="upperLetter"/>
      <w:suff w:val="space"/>
      <w:lvlText w:val="%1."/>
      <w:lvlJc w:val="left"/>
    </w:lvl>
  </w:abstractNum>
  <w:abstractNum w:abstractNumId="21">
    <w:nsid w:val="3F12ACB2"/>
    <w:multiLevelType w:val="singleLevel"/>
    <w:tmpl w:val="3F12ACB2"/>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22">
    <w:nsid w:val="4E824DDC"/>
    <w:multiLevelType w:val="singleLevel"/>
    <w:tmpl w:val="4E824DDC"/>
    <w:lvl w:ilvl="0" w:tentative="0">
      <w:start w:val="1"/>
      <w:numFmt w:val="decimal"/>
      <w:pStyle w:val="92"/>
      <w:suff w:val="space"/>
      <w:lvlText w:val="图2-%1"/>
      <w:lvlJc w:val="left"/>
      <w:pPr>
        <w:tabs>
          <w:tab w:val="left" w:pos="420"/>
        </w:tabs>
        <w:ind w:left="454" w:leftChars="0" w:hanging="454" w:firstLineChars="0"/>
      </w:pPr>
      <w:rPr>
        <w:rFonts w:hint="default"/>
        <w:sz w:val="24"/>
        <w:szCs w:val="24"/>
      </w:rPr>
    </w:lvl>
  </w:abstractNum>
  <w:abstractNum w:abstractNumId="23">
    <w:nsid w:val="545C8B21"/>
    <w:multiLevelType w:val="singleLevel"/>
    <w:tmpl w:val="545C8B21"/>
    <w:lvl w:ilvl="0" w:tentative="0">
      <w:start w:val="1"/>
      <w:numFmt w:val="decimal"/>
      <w:suff w:val="nothing"/>
      <w:lvlText w:val="%1"/>
      <w:lvlJc w:val="center"/>
      <w:pPr>
        <w:tabs>
          <w:tab w:val="left" w:pos="397"/>
        </w:tabs>
        <w:ind w:left="454" w:hanging="454"/>
      </w:pPr>
      <w:rPr>
        <w:rFonts w:hint="default"/>
      </w:rPr>
    </w:lvl>
  </w:abstractNum>
  <w:abstractNum w:abstractNumId="24">
    <w:nsid w:val="5A999BC2"/>
    <w:multiLevelType w:val="singleLevel"/>
    <w:tmpl w:val="5A999BC2"/>
    <w:lvl w:ilvl="0" w:tentative="0">
      <w:start w:val="4"/>
      <w:numFmt w:val="decimal"/>
      <w:suff w:val="nothing"/>
      <w:lvlText w:val="（%1）"/>
      <w:lvlJc w:val="left"/>
    </w:lvl>
  </w:abstractNum>
  <w:abstractNum w:abstractNumId="25">
    <w:nsid w:val="6A7F90A8"/>
    <w:multiLevelType w:val="singleLevel"/>
    <w:tmpl w:val="6A7F90A8"/>
    <w:lvl w:ilvl="0" w:tentative="0">
      <w:start w:val="1"/>
      <w:numFmt w:val="decimal"/>
      <w:suff w:val="nothing"/>
      <w:lvlText w:val="%1"/>
      <w:lvlJc w:val="center"/>
      <w:pPr>
        <w:tabs>
          <w:tab w:val="left" w:pos="397"/>
        </w:tabs>
        <w:ind w:left="454" w:hanging="454"/>
      </w:pPr>
      <w:rPr>
        <w:rFonts w:hint="default"/>
      </w:rPr>
    </w:lvl>
  </w:abstractNum>
  <w:num w:numId="1">
    <w:abstractNumId w:val="13"/>
  </w:num>
  <w:num w:numId="2">
    <w:abstractNumId w:val="5"/>
  </w:num>
  <w:num w:numId="3">
    <w:abstractNumId w:val="0"/>
  </w:num>
  <w:num w:numId="4">
    <w:abstractNumId w:val="21"/>
  </w:num>
  <w:num w:numId="5">
    <w:abstractNumId w:val="8"/>
  </w:num>
  <w:num w:numId="6">
    <w:abstractNumId w:val="11"/>
  </w:num>
  <w:num w:numId="7">
    <w:abstractNumId w:val="6"/>
  </w:num>
  <w:num w:numId="8">
    <w:abstractNumId w:val="7"/>
  </w:num>
  <w:num w:numId="9">
    <w:abstractNumId w:val="10"/>
  </w:num>
  <w:num w:numId="10">
    <w:abstractNumId w:val="3"/>
  </w:num>
  <w:num w:numId="11">
    <w:abstractNumId w:val="2"/>
  </w:num>
  <w:num w:numId="12">
    <w:abstractNumId w:val="22"/>
  </w:num>
  <w:num w:numId="13">
    <w:abstractNumId w:val="17"/>
  </w:num>
  <w:num w:numId="14">
    <w:abstractNumId w:val="24"/>
  </w:num>
  <w:num w:numId="15">
    <w:abstractNumId w:val="18"/>
  </w:num>
  <w:num w:numId="16">
    <w:abstractNumId w:val="16"/>
  </w:num>
  <w:num w:numId="17">
    <w:abstractNumId w:val="4"/>
  </w:num>
  <w:num w:numId="18">
    <w:abstractNumId w:val="10"/>
    <w:lvlOverride w:ilvl="0">
      <w:startOverride w:val="1"/>
    </w:lvlOverride>
  </w:num>
  <w:num w:numId="19">
    <w:abstractNumId w:val="1"/>
  </w:num>
  <w:num w:numId="20">
    <w:abstractNumId w:val="19"/>
  </w:num>
  <w:num w:numId="21">
    <w:abstractNumId w:val="9"/>
  </w:num>
  <w:num w:numId="22">
    <w:abstractNumId w:val="14"/>
  </w:num>
  <w:num w:numId="23">
    <w:abstractNumId w:val="25"/>
  </w:num>
  <w:num w:numId="24">
    <w:abstractNumId w:val="20"/>
  </w:num>
  <w:num w:numId="25">
    <w:abstractNumId w:val="12"/>
  </w:num>
  <w:num w:numId="26">
    <w:abstractNumId w:val="1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NjQwNGUxOGEwODdlOWJiZGMyMjE4NmQyOGY5MTAifQ=="/>
  </w:docVars>
  <w:rsids>
    <w:rsidRoot w:val="00172A27"/>
    <w:rsid w:val="00010691"/>
    <w:rsid w:val="00013B86"/>
    <w:rsid w:val="000163BE"/>
    <w:rsid w:val="00021D77"/>
    <w:rsid w:val="000303B0"/>
    <w:rsid w:val="00036944"/>
    <w:rsid w:val="000373EF"/>
    <w:rsid w:val="00044632"/>
    <w:rsid w:val="00047AF3"/>
    <w:rsid w:val="000A2C3B"/>
    <w:rsid w:val="000B7562"/>
    <w:rsid w:val="000C2474"/>
    <w:rsid w:val="000D138E"/>
    <w:rsid w:val="000E1DAB"/>
    <w:rsid w:val="000E3FE4"/>
    <w:rsid w:val="000F3F25"/>
    <w:rsid w:val="00120F2F"/>
    <w:rsid w:val="00144D89"/>
    <w:rsid w:val="00155A3B"/>
    <w:rsid w:val="00170B87"/>
    <w:rsid w:val="00172A27"/>
    <w:rsid w:val="00190060"/>
    <w:rsid w:val="001B0B4A"/>
    <w:rsid w:val="001B58EC"/>
    <w:rsid w:val="001D0C2D"/>
    <w:rsid w:val="001F5C49"/>
    <w:rsid w:val="00211B81"/>
    <w:rsid w:val="00212099"/>
    <w:rsid w:val="00212C47"/>
    <w:rsid w:val="00217A92"/>
    <w:rsid w:val="0022387D"/>
    <w:rsid w:val="002304AD"/>
    <w:rsid w:val="00247D6A"/>
    <w:rsid w:val="00267463"/>
    <w:rsid w:val="00292367"/>
    <w:rsid w:val="002A31BD"/>
    <w:rsid w:val="002A3926"/>
    <w:rsid w:val="002C4AD5"/>
    <w:rsid w:val="002C74B7"/>
    <w:rsid w:val="002D06F5"/>
    <w:rsid w:val="002D1595"/>
    <w:rsid w:val="002D4D90"/>
    <w:rsid w:val="002E2311"/>
    <w:rsid w:val="002E2BCA"/>
    <w:rsid w:val="00300F23"/>
    <w:rsid w:val="00310670"/>
    <w:rsid w:val="0032729B"/>
    <w:rsid w:val="00327B48"/>
    <w:rsid w:val="003550AC"/>
    <w:rsid w:val="0036077A"/>
    <w:rsid w:val="003969A4"/>
    <w:rsid w:val="003B79FB"/>
    <w:rsid w:val="003D20A7"/>
    <w:rsid w:val="003F417C"/>
    <w:rsid w:val="0040116D"/>
    <w:rsid w:val="00430104"/>
    <w:rsid w:val="004479E5"/>
    <w:rsid w:val="00452533"/>
    <w:rsid w:val="00452D1D"/>
    <w:rsid w:val="00467FB4"/>
    <w:rsid w:val="00486DCA"/>
    <w:rsid w:val="00492790"/>
    <w:rsid w:val="004944A1"/>
    <w:rsid w:val="00496DA9"/>
    <w:rsid w:val="004D01DB"/>
    <w:rsid w:val="004E2E57"/>
    <w:rsid w:val="00503F3D"/>
    <w:rsid w:val="00504008"/>
    <w:rsid w:val="00531CF6"/>
    <w:rsid w:val="0057481C"/>
    <w:rsid w:val="00577718"/>
    <w:rsid w:val="0058487F"/>
    <w:rsid w:val="0058593D"/>
    <w:rsid w:val="00586184"/>
    <w:rsid w:val="00593A8F"/>
    <w:rsid w:val="00597CB5"/>
    <w:rsid w:val="005A0D91"/>
    <w:rsid w:val="005D5DFC"/>
    <w:rsid w:val="005D7E88"/>
    <w:rsid w:val="005E78BD"/>
    <w:rsid w:val="005F211F"/>
    <w:rsid w:val="006149BC"/>
    <w:rsid w:val="00617196"/>
    <w:rsid w:val="00620CC0"/>
    <w:rsid w:val="0062417A"/>
    <w:rsid w:val="00624870"/>
    <w:rsid w:val="0063717C"/>
    <w:rsid w:val="00665E18"/>
    <w:rsid w:val="00675E7C"/>
    <w:rsid w:val="00683C93"/>
    <w:rsid w:val="00692F8C"/>
    <w:rsid w:val="006933B8"/>
    <w:rsid w:val="006B6D51"/>
    <w:rsid w:val="006C68D9"/>
    <w:rsid w:val="006E204C"/>
    <w:rsid w:val="006F06A3"/>
    <w:rsid w:val="00702A1F"/>
    <w:rsid w:val="007031A1"/>
    <w:rsid w:val="00712240"/>
    <w:rsid w:val="0072243A"/>
    <w:rsid w:val="00725348"/>
    <w:rsid w:val="0073465D"/>
    <w:rsid w:val="00741565"/>
    <w:rsid w:val="00757895"/>
    <w:rsid w:val="00762D2C"/>
    <w:rsid w:val="00783668"/>
    <w:rsid w:val="007878C5"/>
    <w:rsid w:val="00797B78"/>
    <w:rsid w:val="007A3CCD"/>
    <w:rsid w:val="007A47B6"/>
    <w:rsid w:val="007C0AB0"/>
    <w:rsid w:val="007E14E2"/>
    <w:rsid w:val="00826284"/>
    <w:rsid w:val="008355E4"/>
    <w:rsid w:val="00856D9E"/>
    <w:rsid w:val="00863223"/>
    <w:rsid w:val="008669A7"/>
    <w:rsid w:val="00876BC6"/>
    <w:rsid w:val="008900CB"/>
    <w:rsid w:val="008A0B37"/>
    <w:rsid w:val="008B0EC4"/>
    <w:rsid w:val="008B1543"/>
    <w:rsid w:val="008D07C9"/>
    <w:rsid w:val="008D0A95"/>
    <w:rsid w:val="008F0DEA"/>
    <w:rsid w:val="008F2407"/>
    <w:rsid w:val="00906C71"/>
    <w:rsid w:val="009140BA"/>
    <w:rsid w:val="00925BA6"/>
    <w:rsid w:val="009539AD"/>
    <w:rsid w:val="00954136"/>
    <w:rsid w:val="0095443C"/>
    <w:rsid w:val="00964868"/>
    <w:rsid w:val="0096665E"/>
    <w:rsid w:val="00971B25"/>
    <w:rsid w:val="00974603"/>
    <w:rsid w:val="00976EDC"/>
    <w:rsid w:val="009849BB"/>
    <w:rsid w:val="009871E3"/>
    <w:rsid w:val="00987DD6"/>
    <w:rsid w:val="009911E8"/>
    <w:rsid w:val="009A2FDB"/>
    <w:rsid w:val="009A6909"/>
    <w:rsid w:val="009B572C"/>
    <w:rsid w:val="009B5DE2"/>
    <w:rsid w:val="009C3B18"/>
    <w:rsid w:val="009E5E7E"/>
    <w:rsid w:val="009F680B"/>
    <w:rsid w:val="00A02371"/>
    <w:rsid w:val="00A045A7"/>
    <w:rsid w:val="00A10E88"/>
    <w:rsid w:val="00A1231E"/>
    <w:rsid w:val="00A1439D"/>
    <w:rsid w:val="00A40E2B"/>
    <w:rsid w:val="00A43BC9"/>
    <w:rsid w:val="00A66F67"/>
    <w:rsid w:val="00AB1DDA"/>
    <w:rsid w:val="00AB382F"/>
    <w:rsid w:val="00AB3B75"/>
    <w:rsid w:val="00AB6BB5"/>
    <w:rsid w:val="00AE22DD"/>
    <w:rsid w:val="00AE27DD"/>
    <w:rsid w:val="00AE66FF"/>
    <w:rsid w:val="00B058C7"/>
    <w:rsid w:val="00B2296C"/>
    <w:rsid w:val="00B23A29"/>
    <w:rsid w:val="00B42C09"/>
    <w:rsid w:val="00B65250"/>
    <w:rsid w:val="00B74C8C"/>
    <w:rsid w:val="00B87449"/>
    <w:rsid w:val="00B87B0D"/>
    <w:rsid w:val="00BB086D"/>
    <w:rsid w:val="00BD04BA"/>
    <w:rsid w:val="00BD5A70"/>
    <w:rsid w:val="00BD6169"/>
    <w:rsid w:val="00BF61F1"/>
    <w:rsid w:val="00C10826"/>
    <w:rsid w:val="00C435D9"/>
    <w:rsid w:val="00C56B5F"/>
    <w:rsid w:val="00C87014"/>
    <w:rsid w:val="00CA2A21"/>
    <w:rsid w:val="00CE5689"/>
    <w:rsid w:val="00CE57CD"/>
    <w:rsid w:val="00CF5D3F"/>
    <w:rsid w:val="00CF7CD3"/>
    <w:rsid w:val="00D137EB"/>
    <w:rsid w:val="00D31465"/>
    <w:rsid w:val="00D3597C"/>
    <w:rsid w:val="00D437D3"/>
    <w:rsid w:val="00D4572E"/>
    <w:rsid w:val="00D622D0"/>
    <w:rsid w:val="00D66444"/>
    <w:rsid w:val="00D84039"/>
    <w:rsid w:val="00DA5E3F"/>
    <w:rsid w:val="00DB2709"/>
    <w:rsid w:val="00DB4BD4"/>
    <w:rsid w:val="00DB702F"/>
    <w:rsid w:val="00DC0D0A"/>
    <w:rsid w:val="00DC1294"/>
    <w:rsid w:val="00DE0772"/>
    <w:rsid w:val="00DE0F60"/>
    <w:rsid w:val="00DF581A"/>
    <w:rsid w:val="00E00C79"/>
    <w:rsid w:val="00E117AC"/>
    <w:rsid w:val="00E14749"/>
    <w:rsid w:val="00E23414"/>
    <w:rsid w:val="00E26916"/>
    <w:rsid w:val="00E30232"/>
    <w:rsid w:val="00E3318E"/>
    <w:rsid w:val="00E46150"/>
    <w:rsid w:val="00E5100C"/>
    <w:rsid w:val="00E529B0"/>
    <w:rsid w:val="00E67C0E"/>
    <w:rsid w:val="00E77FFC"/>
    <w:rsid w:val="00EB47CD"/>
    <w:rsid w:val="00EC091C"/>
    <w:rsid w:val="00EC0C0A"/>
    <w:rsid w:val="00EF0804"/>
    <w:rsid w:val="00F000CF"/>
    <w:rsid w:val="00F15227"/>
    <w:rsid w:val="00F1678A"/>
    <w:rsid w:val="00F43DA5"/>
    <w:rsid w:val="00F5151A"/>
    <w:rsid w:val="00F644F1"/>
    <w:rsid w:val="00F95318"/>
    <w:rsid w:val="00FB0CF2"/>
    <w:rsid w:val="00FB24A7"/>
    <w:rsid w:val="00FB67BF"/>
    <w:rsid w:val="00FF050A"/>
    <w:rsid w:val="00FF1F36"/>
    <w:rsid w:val="010016D4"/>
    <w:rsid w:val="01027FD7"/>
    <w:rsid w:val="0106655D"/>
    <w:rsid w:val="010D5109"/>
    <w:rsid w:val="011375A8"/>
    <w:rsid w:val="011913EE"/>
    <w:rsid w:val="01195D79"/>
    <w:rsid w:val="013C56FA"/>
    <w:rsid w:val="01401F5A"/>
    <w:rsid w:val="01410F36"/>
    <w:rsid w:val="01444B4A"/>
    <w:rsid w:val="014A63E6"/>
    <w:rsid w:val="014E5DA6"/>
    <w:rsid w:val="014F0903"/>
    <w:rsid w:val="01571B7D"/>
    <w:rsid w:val="015B535E"/>
    <w:rsid w:val="0160744B"/>
    <w:rsid w:val="01692146"/>
    <w:rsid w:val="016E5FBE"/>
    <w:rsid w:val="017460A8"/>
    <w:rsid w:val="017E0CD4"/>
    <w:rsid w:val="0180792C"/>
    <w:rsid w:val="01814244"/>
    <w:rsid w:val="018533CE"/>
    <w:rsid w:val="019109C9"/>
    <w:rsid w:val="01910A08"/>
    <w:rsid w:val="01960024"/>
    <w:rsid w:val="019B2F5B"/>
    <w:rsid w:val="019E2389"/>
    <w:rsid w:val="01A249C3"/>
    <w:rsid w:val="01A7278B"/>
    <w:rsid w:val="01BD4DA3"/>
    <w:rsid w:val="01C35FAD"/>
    <w:rsid w:val="01D81CF4"/>
    <w:rsid w:val="01E833B6"/>
    <w:rsid w:val="01EC2D1C"/>
    <w:rsid w:val="02125542"/>
    <w:rsid w:val="02145AE8"/>
    <w:rsid w:val="02164BF0"/>
    <w:rsid w:val="02254D23"/>
    <w:rsid w:val="022A2346"/>
    <w:rsid w:val="022B0E5C"/>
    <w:rsid w:val="02327F93"/>
    <w:rsid w:val="02331ABF"/>
    <w:rsid w:val="0249110B"/>
    <w:rsid w:val="02491C5D"/>
    <w:rsid w:val="02511125"/>
    <w:rsid w:val="025D31C2"/>
    <w:rsid w:val="0267346B"/>
    <w:rsid w:val="02747474"/>
    <w:rsid w:val="0279267D"/>
    <w:rsid w:val="027E647B"/>
    <w:rsid w:val="0281115C"/>
    <w:rsid w:val="0288636B"/>
    <w:rsid w:val="028D0336"/>
    <w:rsid w:val="02964312"/>
    <w:rsid w:val="02A66735"/>
    <w:rsid w:val="02A76009"/>
    <w:rsid w:val="02A96DE6"/>
    <w:rsid w:val="02BE02BD"/>
    <w:rsid w:val="02C02DD6"/>
    <w:rsid w:val="02CE540E"/>
    <w:rsid w:val="02D64213"/>
    <w:rsid w:val="02D64A61"/>
    <w:rsid w:val="02DD098C"/>
    <w:rsid w:val="02E02A02"/>
    <w:rsid w:val="02E27BFD"/>
    <w:rsid w:val="02FB7028"/>
    <w:rsid w:val="02FC5205"/>
    <w:rsid w:val="030077A4"/>
    <w:rsid w:val="03297112"/>
    <w:rsid w:val="0335008C"/>
    <w:rsid w:val="033D7704"/>
    <w:rsid w:val="0340565D"/>
    <w:rsid w:val="03412C57"/>
    <w:rsid w:val="03475656"/>
    <w:rsid w:val="034C52CD"/>
    <w:rsid w:val="035B6DBC"/>
    <w:rsid w:val="035F2C9C"/>
    <w:rsid w:val="036208AE"/>
    <w:rsid w:val="036A3DC1"/>
    <w:rsid w:val="03703875"/>
    <w:rsid w:val="03793528"/>
    <w:rsid w:val="03851973"/>
    <w:rsid w:val="03873063"/>
    <w:rsid w:val="038E07E0"/>
    <w:rsid w:val="03975C7F"/>
    <w:rsid w:val="03AC30BD"/>
    <w:rsid w:val="03B65EE5"/>
    <w:rsid w:val="03B804CE"/>
    <w:rsid w:val="03B86720"/>
    <w:rsid w:val="03C52755"/>
    <w:rsid w:val="03C74BB5"/>
    <w:rsid w:val="03C95A0C"/>
    <w:rsid w:val="03CA0201"/>
    <w:rsid w:val="03CC1324"/>
    <w:rsid w:val="03CC1AB9"/>
    <w:rsid w:val="03CD1A9F"/>
    <w:rsid w:val="03E63D04"/>
    <w:rsid w:val="03E77005"/>
    <w:rsid w:val="03EA4B4B"/>
    <w:rsid w:val="03EE5BDD"/>
    <w:rsid w:val="03F434D0"/>
    <w:rsid w:val="04064D6B"/>
    <w:rsid w:val="04071455"/>
    <w:rsid w:val="04102E61"/>
    <w:rsid w:val="0413627F"/>
    <w:rsid w:val="04190023"/>
    <w:rsid w:val="041C69CE"/>
    <w:rsid w:val="042353E7"/>
    <w:rsid w:val="0426171B"/>
    <w:rsid w:val="04271E5C"/>
    <w:rsid w:val="044A4CC3"/>
    <w:rsid w:val="046C1008"/>
    <w:rsid w:val="047D6484"/>
    <w:rsid w:val="048462BA"/>
    <w:rsid w:val="04860FD8"/>
    <w:rsid w:val="048644D3"/>
    <w:rsid w:val="048F3446"/>
    <w:rsid w:val="04904FA7"/>
    <w:rsid w:val="04944677"/>
    <w:rsid w:val="04A34BCA"/>
    <w:rsid w:val="04A86794"/>
    <w:rsid w:val="04A9786D"/>
    <w:rsid w:val="04B41FDF"/>
    <w:rsid w:val="04C1492D"/>
    <w:rsid w:val="04C851C9"/>
    <w:rsid w:val="04CA2012"/>
    <w:rsid w:val="04CB6179"/>
    <w:rsid w:val="04D96B61"/>
    <w:rsid w:val="04DA4474"/>
    <w:rsid w:val="04DF0081"/>
    <w:rsid w:val="04E2053F"/>
    <w:rsid w:val="04E67986"/>
    <w:rsid w:val="04EB158C"/>
    <w:rsid w:val="04FA27F0"/>
    <w:rsid w:val="050009E5"/>
    <w:rsid w:val="05023575"/>
    <w:rsid w:val="050B5ADE"/>
    <w:rsid w:val="051C149C"/>
    <w:rsid w:val="051F39EF"/>
    <w:rsid w:val="0526513E"/>
    <w:rsid w:val="053B04D5"/>
    <w:rsid w:val="053C63EC"/>
    <w:rsid w:val="05415858"/>
    <w:rsid w:val="05455794"/>
    <w:rsid w:val="054B62CD"/>
    <w:rsid w:val="05501283"/>
    <w:rsid w:val="05557A10"/>
    <w:rsid w:val="055621B2"/>
    <w:rsid w:val="0557742F"/>
    <w:rsid w:val="055E4DD4"/>
    <w:rsid w:val="056713C6"/>
    <w:rsid w:val="056B17BC"/>
    <w:rsid w:val="057448C8"/>
    <w:rsid w:val="05771B25"/>
    <w:rsid w:val="05774772"/>
    <w:rsid w:val="057747FA"/>
    <w:rsid w:val="057B460B"/>
    <w:rsid w:val="058A319E"/>
    <w:rsid w:val="059B24B4"/>
    <w:rsid w:val="05AC22B4"/>
    <w:rsid w:val="05B314FE"/>
    <w:rsid w:val="05B33B2F"/>
    <w:rsid w:val="05B66C8F"/>
    <w:rsid w:val="05B93919"/>
    <w:rsid w:val="05BD2788"/>
    <w:rsid w:val="05C137B2"/>
    <w:rsid w:val="05C53EAE"/>
    <w:rsid w:val="05CF7D50"/>
    <w:rsid w:val="05D62E8D"/>
    <w:rsid w:val="05DB23E3"/>
    <w:rsid w:val="05E30352"/>
    <w:rsid w:val="05EC7DE8"/>
    <w:rsid w:val="05F3194C"/>
    <w:rsid w:val="05F720A4"/>
    <w:rsid w:val="05FD56D0"/>
    <w:rsid w:val="06085EAF"/>
    <w:rsid w:val="06110369"/>
    <w:rsid w:val="061B2F96"/>
    <w:rsid w:val="061B6C83"/>
    <w:rsid w:val="061C3690"/>
    <w:rsid w:val="062475CD"/>
    <w:rsid w:val="06305342"/>
    <w:rsid w:val="063127B9"/>
    <w:rsid w:val="06314A23"/>
    <w:rsid w:val="06327AEF"/>
    <w:rsid w:val="0634395D"/>
    <w:rsid w:val="06475B39"/>
    <w:rsid w:val="065450A7"/>
    <w:rsid w:val="065A69C1"/>
    <w:rsid w:val="06793BDF"/>
    <w:rsid w:val="067C2CE7"/>
    <w:rsid w:val="067C3E31"/>
    <w:rsid w:val="067E2450"/>
    <w:rsid w:val="068B16A8"/>
    <w:rsid w:val="069003FD"/>
    <w:rsid w:val="069B7AE1"/>
    <w:rsid w:val="06A07EEF"/>
    <w:rsid w:val="06A13892"/>
    <w:rsid w:val="06B223BB"/>
    <w:rsid w:val="06B57B81"/>
    <w:rsid w:val="06C51A78"/>
    <w:rsid w:val="06D3561E"/>
    <w:rsid w:val="06D50BE4"/>
    <w:rsid w:val="06E3211B"/>
    <w:rsid w:val="06E96EB4"/>
    <w:rsid w:val="06EC66D7"/>
    <w:rsid w:val="06EE0351"/>
    <w:rsid w:val="06EF5445"/>
    <w:rsid w:val="06F2523A"/>
    <w:rsid w:val="070E2C56"/>
    <w:rsid w:val="07155C37"/>
    <w:rsid w:val="071615C6"/>
    <w:rsid w:val="071719AF"/>
    <w:rsid w:val="07225EE1"/>
    <w:rsid w:val="07235C49"/>
    <w:rsid w:val="072440CC"/>
    <w:rsid w:val="072761CD"/>
    <w:rsid w:val="072E4015"/>
    <w:rsid w:val="072F43E6"/>
    <w:rsid w:val="072F4EE1"/>
    <w:rsid w:val="073C1416"/>
    <w:rsid w:val="073E518E"/>
    <w:rsid w:val="07466753"/>
    <w:rsid w:val="074B2D67"/>
    <w:rsid w:val="074C428E"/>
    <w:rsid w:val="0753267C"/>
    <w:rsid w:val="07535A00"/>
    <w:rsid w:val="07535E45"/>
    <w:rsid w:val="075524D7"/>
    <w:rsid w:val="075661C1"/>
    <w:rsid w:val="075B2D30"/>
    <w:rsid w:val="075C714F"/>
    <w:rsid w:val="077C7045"/>
    <w:rsid w:val="077D1FF2"/>
    <w:rsid w:val="077E5F97"/>
    <w:rsid w:val="077F00CA"/>
    <w:rsid w:val="078621C1"/>
    <w:rsid w:val="078A2181"/>
    <w:rsid w:val="078D67E3"/>
    <w:rsid w:val="079335E8"/>
    <w:rsid w:val="079E1259"/>
    <w:rsid w:val="07AB4963"/>
    <w:rsid w:val="07B26500"/>
    <w:rsid w:val="07B919DC"/>
    <w:rsid w:val="07BD0CB0"/>
    <w:rsid w:val="07C94C2B"/>
    <w:rsid w:val="07CA6A21"/>
    <w:rsid w:val="07CE2A0D"/>
    <w:rsid w:val="07D8288D"/>
    <w:rsid w:val="07DD0FE7"/>
    <w:rsid w:val="07DE4AF8"/>
    <w:rsid w:val="07E95755"/>
    <w:rsid w:val="07EB0E6D"/>
    <w:rsid w:val="07EF336E"/>
    <w:rsid w:val="07F55AFA"/>
    <w:rsid w:val="07FD6DF7"/>
    <w:rsid w:val="08040DB7"/>
    <w:rsid w:val="08062951"/>
    <w:rsid w:val="080E004E"/>
    <w:rsid w:val="08155FAA"/>
    <w:rsid w:val="08197F6B"/>
    <w:rsid w:val="0821485B"/>
    <w:rsid w:val="0827576B"/>
    <w:rsid w:val="083B791F"/>
    <w:rsid w:val="08410771"/>
    <w:rsid w:val="08460D9C"/>
    <w:rsid w:val="08487BA6"/>
    <w:rsid w:val="084B4611"/>
    <w:rsid w:val="084F33CB"/>
    <w:rsid w:val="08664945"/>
    <w:rsid w:val="08706296"/>
    <w:rsid w:val="08721A24"/>
    <w:rsid w:val="087238F1"/>
    <w:rsid w:val="08760235"/>
    <w:rsid w:val="08781D0D"/>
    <w:rsid w:val="087B41C0"/>
    <w:rsid w:val="087F604C"/>
    <w:rsid w:val="088B5D89"/>
    <w:rsid w:val="08960498"/>
    <w:rsid w:val="08AA01AB"/>
    <w:rsid w:val="08AF3C79"/>
    <w:rsid w:val="08B535F1"/>
    <w:rsid w:val="08B864ED"/>
    <w:rsid w:val="08B97E81"/>
    <w:rsid w:val="08D639B1"/>
    <w:rsid w:val="08DB7394"/>
    <w:rsid w:val="08DF4C8E"/>
    <w:rsid w:val="08E73603"/>
    <w:rsid w:val="08EB636A"/>
    <w:rsid w:val="08EC6AA4"/>
    <w:rsid w:val="08FD726D"/>
    <w:rsid w:val="09065C74"/>
    <w:rsid w:val="090D36F0"/>
    <w:rsid w:val="090D75DC"/>
    <w:rsid w:val="091A77C6"/>
    <w:rsid w:val="091C1130"/>
    <w:rsid w:val="09411BAB"/>
    <w:rsid w:val="094221DB"/>
    <w:rsid w:val="094D16B8"/>
    <w:rsid w:val="094D2AC2"/>
    <w:rsid w:val="095F1480"/>
    <w:rsid w:val="09623877"/>
    <w:rsid w:val="096524A1"/>
    <w:rsid w:val="09697C41"/>
    <w:rsid w:val="096F432E"/>
    <w:rsid w:val="0978016A"/>
    <w:rsid w:val="09814028"/>
    <w:rsid w:val="09855662"/>
    <w:rsid w:val="098B169F"/>
    <w:rsid w:val="098C479E"/>
    <w:rsid w:val="09900902"/>
    <w:rsid w:val="0992356F"/>
    <w:rsid w:val="09984D44"/>
    <w:rsid w:val="09AF0AB4"/>
    <w:rsid w:val="09B41737"/>
    <w:rsid w:val="09BB6C68"/>
    <w:rsid w:val="09BD6A31"/>
    <w:rsid w:val="09BF0E26"/>
    <w:rsid w:val="09CD3C8B"/>
    <w:rsid w:val="09F7743B"/>
    <w:rsid w:val="09FA3D01"/>
    <w:rsid w:val="0A044046"/>
    <w:rsid w:val="0A11552E"/>
    <w:rsid w:val="0A1376DC"/>
    <w:rsid w:val="0A24188E"/>
    <w:rsid w:val="0A3B7763"/>
    <w:rsid w:val="0A3C0E7D"/>
    <w:rsid w:val="0A405F7A"/>
    <w:rsid w:val="0A4849CB"/>
    <w:rsid w:val="0A4C452C"/>
    <w:rsid w:val="0A4C631C"/>
    <w:rsid w:val="0A5062CD"/>
    <w:rsid w:val="0A512554"/>
    <w:rsid w:val="0A5234B4"/>
    <w:rsid w:val="0A5A0B67"/>
    <w:rsid w:val="0A5A27D9"/>
    <w:rsid w:val="0A6071C9"/>
    <w:rsid w:val="0A660074"/>
    <w:rsid w:val="0A6A629A"/>
    <w:rsid w:val="0A7737F4"/>
    <w:rsid w:val="0A846D7C"/>
    <w:rsid w:val="0A892D35"/>
    <w:rsid w:val="0A8B1561"/>
    <w:rsid w:val="0A8F7AAE"/>
    <w:rsid w:val="0AA436F1"/>
    <w:rsid w:val="0AA81CE2"/>
    <w:rsid w:val="0AAF2B7B"/>
    <w:rsid w:val="0AB100F9"/>
    <w:rsid w:val="0ABB6524"/>
    <w:rsid w:val="0ABE2142"/>
    <w:rsid w:val="0AC22F68"/>
    <w:rsid w:val="0ACC1A3F"/>
    <w:rsid w:val="0AD45178"/>
    <w:rsid w:val="0AD55E09"/>
    <w:rsid w:val="0AE0732E"/>
    <w:rsid w:val="0AE171FE"/>
    <w:rsid w:val="0AE3797E"/>
    <w:rsid w:val="0AEA2F37"/>
    <w:rsid w:val="0AF551E2"/>
    <w:rsid w:val="0AFA6BF6"/>
    <w:rsid w:val="0B1437E1"/>
    <w:rsid w:val="0B2A6428"/>
    <w:rsid w:val="0B2F4DE1"/>
    <w:rsid w:val="0B2F7D66"/>
    <w:rsid w:val="0B316D15"/>
    <w:rsid w:val="0B3537B7"/>
    <w:rsid w:val="0B41524D"/>
    <w:rsid w:val="0B465654"/>
    <w:rsid w:val="0B4D13B1"/>
    <w:rsid w:val="0B4F6DA3"/>
    <w:rsid w:val="0B640F3B"/>
    <w:rsid w:val="0B7F7C52"/>
    <w:rsid w:val="0B800C0A"/>
    <w:rsid w:val="0B811AED"/>
    <w:rsid w:val="0B8173B9"/>
    <w:rsid w:val="0B8E6588"/>
    <w:rsid w:val="0B932773"/>
    <w:rsid w:val="0B995089"/>
    <w:rsid w:val="0B9E1E32"/>
    <w:rsid w:val="0B9F1F73"/>
    <w:rsid w:val="0BA23811"/>
    <w:rsid w:val="0BC6627E"/>
    <w:rsid w:val="0BC902D6"/>
    <w:rsid w:val="0BDF6167"/>
    <w:rsid w:val="0BDF6813"/>
    <w:rsid w:val="0BEE2A73"/>
    <w:rsid w:val="0C00055B"/>
    <w:rsid w:val="0C1069CD"/>
    <w:rsid w:val="0C1810CB"/>
    <w:rsid w:val="0C191E07"/>
    <w:rsid w:val="0C1C0D0C"/>
    <w:rsid w:val="0C2260CA"/>
    <w:rsid w:val="0C2B1560"/>
    <w:rsid w:val="0C2D2351"/>
    <w:rsid w:val="0C2F7405"/>
    <w:rsid w:val="0C300ECF"/>
    <w:rsid w:val="0C315A18"/>
    <w:rsid w:val="0C3A13C6"/>
    <w:rsid w:val="0C3F399A"/>
    <w:rsid w:val="0C5B233E"/>
    <w:rsid w:val="0C6D2071"/>
    <w:rsid w:val="0C80768D"/>
    <w:rsid w:val="0C8A781C"/>
    <w:rsid w:val="0C9F250D"/>
    <w:rsid w:val="0CB15645"/>
    <w:rsid w:val="0CBC261F"/>
    <w:rsid w:val="0CC418E1"/>
    <w:rsid w:val="0CD21ED4"/>
    <w:rsid w:val="0CD34054"/>
    <w:rsid w:val="0CE0645E"/>
    <w:rsid w:val="0CEE61E3"/>
    <w:rsid w:val="0CF17976"/>
    <w:rsid w:val="0CF854BA"/>
    <w:rsid w:val="0CFB1F53"/>
    <w:rsid w:val="0CFE0185"/>
    <w:rsid w:val="0CFE417D"/>
    <w:rsid w:val="0D030A2B"/>
    <w:rsid w:val="0D1723D3"/>
    <w:rsid w:val="0D2B7F62"/>
    <w:rsid w:val="0D33523D"/>
    <w:rsid w:val="0D3C1069"/>
    <w:rsid w:val="0D4508F8"/>
    <w:rsid w:val="0D4C612B"/>
    <w:rsid w:val="0D5C39B4"/>
    <w:rsid w:val="0D63445A"/>
    <w:rsid w:val="0D6A15DB"/>
    <w:rsid w:val="0D703786"/>
    <w:rsid w:val="0D782207"/>
    <w:rsid w:val="0D7C1107"/>
    <w:rsid w:val="0D842293"/>
    <w:rsid w:val="0D8542C2"/>
    <w:rsid w:val="0D9E6421"/>
    <w:rsid w:val="0DA9030B"/>
    <w:rsid w:val="0DAA46E8"/>
    <w:rsid w:val="0DAE66A2"/>
    <w:rsid w:val="0DAF246D"/>
    <w:rsid w:val="0DAF693D"/>
    <w:rsid w:val="0DB0141C"/>
    <w:rsid w:val="0DB55A7E"/>
    <w:rsid w:val="0DBB0994"/>
    <w:rsid w:val="0DBE732D"/>
    <w:rsid w:val="0DDA53B4"/>
    <w:rsid w:val="0DDE3227"/>
    <w:rsid w:val="0DE93979"/>
    <w:rsid w:val="0DEB76F2"/>
    <w:rsid w:val="0DEF06EF"/>
    <w:rsid w:val="0DF02F5A"/>
    <w:rsid w:val="0DFA15FE"/>
    <w:rsid w:val="0DFA6A38"/>
    <w:rsid w:val="0E0931B5"/>
    <w:rsid w:val="0E10458D"/>
    <w:rsid w:val="0E2E66F0"/>
    <w:rsid w:val="0E342E47"/>
    <w:rsid w:val="0E3F6F29"/>
    <w:rsid w:val="0E5B24B9"/>
    <w:rsid w:val="0E64479B"/>
    <w:rsid w:val="0E65065B"/>
    <w:rsid w:val="0E6B4B4F"/>
    <w:rsid w:val="0E6D6359"/>
    <w:rsid w:val="0E6F710A"/>
    <w:rsid w:val="0E795882"/>
    <w:rsid w:val="0E8110E0"/>
    <w:rsid w:val="0E824BBE"/>
    <w:rsid w:val="0E85071A"/>
    <w:rsid w:val="0E8E54F1"/>
    <w:rsid w:val="0E9D0328"/>
    <w:rsid w:val="0EA50825"/>
    <w:rsid w:val="0EA900F8"/>
    <w:rsid w:val="0EAA75B1"/>
    <w:rsid w:val="0EB12AD5"/>
    <w:rsid w:val="0EBB70C4"/>
    <w:rsid w:val="0ED32557"/>
    <w:rsid w:val="0EE57475"/>
    <w:rsid w:val="0EEF6D6E"/>
    <w:rsid w:val="0EF136E7"/>
    <w:rsid w:val="0EF35F9E"/>
    <w:rsid w:val="0EF75B42"/>
    <w:rsid w:val="0EFC4B4B"/>
    <w:rsid w:val="0F037349"/>
    <w:rsid w:val="0F112046"/>
    <w:rsid w:val="0F13567C"/>
    <w:rsid w:val="0F280E8A"/>
    <w:rsid w:val="0F3054A7"/>
    <w:rsid w:val="0F38624F"/>
    <w:rsid w:val="0F387A6C"/>
    <w:rsid w:val="0F3E61E5"/>
    <w:rsid w:val="0F403AD3"/>
    <w:rsid w:val="0F44445D"/>
    <w:rsid w:val="0F481A8B"/>
    <w:rsid w:val="0F5013E9"/>
    <w:rsid w:val="0F5117D6"/>
    <w:rsid w:val="0F5409E6"/>
    <w:rsid w:val="0F550ABE"/>
    <w:rsid w:val="0F62771D"/>
    <w:rsid w:val="0F713C26"/>
    <w:rsid w:val="0F75501B"/>
    <w:rsid w:val="0F784FB5"/>
    <w:rsid w:val="0F85062C"/>
    <w:rsid w:val="0F873CFF"/>
    <w:rsid w:val="0F957915"/>
    <w:rsid w:val="0F9F6761"/>
    <w:rsid w:val="0FA505B1"/>
    <w:rsid w:val="0FAE1C86"/>
    <w:rsid w:val="0FB41FDA"/>
    <w:rsid w:val="0FB95619"/>
    <w:rsid w:val="0FBA737B"/>
    <w:rsid w:val="0FC8369B"/>
    <w:rsid w:val="0FC9245D"/>
    <w:rsid w:val="0FD20B69"/>
    <w:rsid w:val="0FD22A7F"/>
    <w:rsid w:val="0FDC6611"/>
    <w:rsid w:val="0FDD6ECE"/>
    <w:rsid w:val="0FDF10D4"/>
    <w:rsid w:val="0FE30343"/>
    <w:rsid w:val="0FFA3C1C"/>
    <w:rsid w:val="0FFE0198"/>
    <w:rsid w:val="1030200B"/>
    <w:rsid w:val="1036347A"/>
    <w:rsid w:val="103F3A02"/>
    <w:rsid w:val="103F516B"/>
    <w:rsid w:val="104B1BDF"/>
    <w:rsid w:val="10505FAA"/>
    <w:rsid w:val="1051747E"/>
    <w:rsid w:val="1057106E"/>
    <w:rsid w:val="106E7DC0"/>
    <w:rsid w:val="10721D58"/>
    <w:rsid w:val="107374DA"/>
    <w:rsid w:val="107F7193"/>
    <w:rsid w:val="10814CB8"/>
    <w:rsid w:val="108D69C4"/>
    <w:rsid w:val="108F7870"/>
    <w:rsid w:val="10A700A3"/>
    <w:rsid w:val="10A94879"/>
    <w:rsid w:val="10B108ED"/>
    <w:rsid w:val="10B800D8"/>
    <w:rsid w:val="10B930F7"/>
    <w:rsid w:val="10CE27F7"/>
    <w:rsid w:val="10DA4EE5"/>
    <w:rsid w:val="10EA1D57"/>
    <w:rsid w:val="11052878"/>
    <w:rsid w:val="11107FB0"/>
    <w:rsid w:val="111317E7"/>
    <w:rsid w:val="11290813"/>
    <w:rsid w:val="113B2391"/>
    <w:rsid w:val="11511F61"/>
    <w:rsid w:val="116379D3"/>
    <w:rsid w:val="11692E07"/>
    <w:rsid w:val="118E2CD8"/>
    <w:rsid w:val="11953833"/>
    <w:rsid w:val="11967974"/>
    <w:rsid w:val="119836EC"/>
    <w:rsid w:val="11A27059"/>
    <w:rsid w:val="11A77ED7"/>
    <w:rsid w:val="11B30655"/>
    <w:rsid w:val="11B46FE8"/>
    <w:rsid w:val="11B51A43"/>
    <w:rsid w:val="11BA2999"/>
    <w:rsid w:val="11BB562D"/>
    <w:rsid w:val="11BD13A5"/>
    <w:rsid w:val="11BD71AA"/>
    <w:rsid w:val="11C1302F"/>
    <w:rsid w:val="11C47865"/>
    <w:rsid w:val="11C56EEC"/>
    <w:rsid w:val="11D339F2"/>
    <w:rsid w:val="11FD10B2"/>
    <w:rsid w:val="12094BEA"/>
    <w:rsid w:val="120C6706"/>
    <w:rsid w:val="121A269E"/>
    <w:rsid w:val="121D3BF2"/>
    <w:rsid w:val="12207759"/>
    <w:rsid w:val="1241348A"/>
    <w:rsid w:val="124F5313"/>
    <w:rsid w:val="125337BD"/>
    <w:rsid w:val="12570D8C"/>
    <w:rsid w:val="12647A72"/>
    <w:rsid w:val="1274605A"/>
    <w:rsid w:val="12867F74"/>
    <w:rsid w:val="128811B4"/>
    <w:rsid w:val="12937159"/>
    <w:rsid w:val="12A108F3"/>
    <w:rsid w:val="12A400E4"/>
    <w:rsid w:val="12AD33CD"/>
    <w:rsid w:val="12B27FA6"/>
    <w:rsid w:val="12B5349E"/>
    <w:rsid w:val="12C9355E"/>
    <w:rsid w:val="12CC7153"/>
    <w:rsid w:val="12DA4AE4"/>
    <w:rsid w:val="12DE1FB8"/>
    <w:rsid w:val="12EC3F92"/>
    <w:rsid w:val="12EE1342"/>
    <w:rsid w:val="12EF37E0"/>
    <w:rsid w:val="12F2507E"/>
    <w:rsid w:val="12F57DA6"/>
    <w:rsid w:val="12F72695"/>
    <w:rsid w:val="12FA4AEE"/>
    <w:rsid w:val="131117C4"/>
    <w:rsid w:val="131264B6"/>
    <w:rsid w:val="13151109"/>
    <w:rsid w:val="131842ED"/>
    <w:rsid w:val="1336024F"/>
    <w:rsid w:val="133D454B"/>
    <w:rsid w:val="133E287A"/>
    <w:rsid w:val="13474B62"/>
    <w:rsid w:val="134E3BF3"/>
    <w:rsid w:val="134F7B83"/>
    <w:rsid w:val="13623FB2"/>
    <w:rsid w:val="13652F9B"/>
    <w:rsid w:val="13781A27"/>
    <w:rsid w:val="137F1993"/>
    <w:rsid w:val="13805A3A"/>
    <w:rsid w:val="13820EF4"/>
    <w:rsid w:val="13842605"/>
    <w:rsid w:val="13897791"/>
    <w:rsid w:val="138A62FF"/>
    <w:rsid w:val="138C02F7"/>
    <w:rsid w:val="13946135"/>
    <w:rsid w:val="13A32B71"/>
    <w:rsid w:val="13B44001"/>
    <w:rsid w:val="13C44304"/>
    <w:rsid w:val="13C515D3"/>
    <w:rsid w:val="13D35C6C"/>
    <w:rsid w:val="13D84582"/>
    <w:rsid w:val="13D94583"/>
    <w:rsid w:val="13DA2891"/>
    <w:rsid w:val="13DA488F"/>
    <w:rsid w:val="13DB1CD2"/>
    <w:rsid w:val="13E43644"/>
    <w:rsid w:val="13ED5AD5"/>
    <w:rsid w:val="13F26515"/>
    <w:rsid w:val="13F32811"/>
    <w:rsid w:val="14102DB3"/>
    <w:rsid w:val="14225A8E"/>
    <w:rsid w:val="14270E79"/>
    <w:rsid w:val="142F2923"/>
    <w:rsid w:val="143A2A9C"/>
    <w:rsid w:val="143D71A3"/>
    <w:rsid w:val="14483D0E"/>
    <w:rsid w:val="144F2EDC"/>
    <w:rsid w:val="1452098F"/>
    <w:rsid w:val="145B5FDF"/>
    <w:rsid w:val="146142B0"/>
    <w:rsid w:val="14620ABF"/>
    <w:rsid w:val="14646D73"/>
    <w:rsid w:val="14706BA3"/>
    <w:rsid w:val="14722599"/>
    <w:rsid w:val="147564C5"/>
    <w:rsid w:val="148E71AF"/>
    <w:rsid w:val="14987A67"/>
    <w:rsid w:val="14B03CDB"/>
    <w:rsid w:val="14BA1BCC"/>
    <w:rsid w:val="14C30E1E"/>
    <w:rsid w:val="14CC5B1D"/>
    <w:rsid w:val="14D532B4"/>
    <w:rsid w:val="14FD244F"/>
    <w:rsid w:val="14FD61D1"/>
    <w:rsid w:val="150304D7"/>
    <w:rsid w:val="150B0199"/>
    <w:rsid w:val="150C668B"/>
    <w:rsid w:val="15111135"/>
    <w:rsid w:val="151E0382"/>
    <w:rsid w:val="15280C21"/>
    <w:rsid w:val="153542FD"/>
    <w:rsid w:val="15363BA8"/>
    <w:rsid w:val="1537141C"/>
    <w:rsid w:val="153A4EE6"/>
    <w:rsid w:val="153B0F5F"/>
    <w:rsid w:val="153B5D5B"/>
    <w:rsid w:val="153E777B"/>
    <w:rsid w:val="15481C4A"/>
    <w:rsid w:val="154C5793"/>
    <w:rsid w:val="15523E90"/>
    <w:rsid w:val="15551E18"/>
    <w:rsid w:val="155C4C28"/>
    <w:rsid w:val="15744470"/>
    <w:rsid w:val="15784595"/>
    <w:rsid w:val="15794927"/>
    <w:rsid w:val="157D1577"/>
    <w:rsid w:val="15833AE4"/>
    <w:rsid w:val="15B42D93"/>
    <w:rsid w:val="15CA444F"/>
    <w:rsid w:val="15D1541F"/>
    <w:rsid w:val="15DE47E3"/>
    <w:rsid w:val="15FF01DE"/>
    <w:rsid w:val="15FF1242"/>
    <w:rsid w:val="16004D2F"/>
    <w:rsid w:val="16216CE8"/>
    <w:rsid w:val="163400AA"/>
    <w:rsid w:val="1642631D"/>
    <w:rsid w:val="1647215E"/>
    <w:rsid w:val="1656197F"/>
    <w:rsid w:val="165E3157"/>
    <w:rsid w:val="16660DE5"/>
    <w:rsid w:val="1666200B"/>
    <w:rsid w:val="166F13BB"/>
    <w:rsid w:val="1672275E"/>
    <w:rsid w:val="1675076B"/>
    <w:rsid w:val="167D79B6"/>
    <w:rsid w:val="16857815"/>
    <w:rsid w:val="168601F0"/>
    <w:rsid w:val="16897549"/>
    <w:rsid w:val="168B28E9"/>
    <w:rsid w:val="16907BFC"/>
    <w:rsid w:val="16937458"/>
    <w:rsid w:val="16A76A1C"/>
    <w:rsid w:val="16AA2F5C"/>
    <w:rsid w:val="16B003AC"/>
    <w:rsid w:val="16B461C6"/>
    <w:rsid w:val="16CC1169"/>
    <w:rsid w:val="16CD2E83"/>
    <w:rsid w:val="16D056D6"/>
    <w:rsid w:val="16D11568"/>
    <w:rsid w:val="16D43F98"/>
    <w:rsid w:val="16D80E4D"/>
    <w:rsid w:val="16D9376D"/>
    <w:rsid w:val="16D9538A"/>
    <w:rsid w:val="16E57781"/>
    <w:rsid w:val="16EE0E66"/>
    <w:rsid w:val="16F245C5"/>
    <w:rsid w:val="17062BBD"/>
    <w:rsid w:val="172343EA"/>
    <w:rsid w:val="172F47EE"/>
    <w:rsid w:val="173F12DE"/>
    <w:rsid w:val="174175BE"/>
    <w:rsid w:val="174F1860"/>
    <w:rsid w:val="175A17F9"/>
    <w:rsid w:val="175F1F04"/>
    <w:rsid w:val="175F7F8D"/>
    <w:rsid w:val="176201D3"/>
    <w:rsid w:val="17681DB3"/>
    <w:rsid w:val="177E5132"/>
    <w:rsid w:val="17824C23"/>
    <w:rsid w:val="17885842"/>
    <w:rsid w:val="178B5059"/>
    <w:rsid w:val="17995B27"/>
    <w:rsid w:val="179C1D98"/>
    <w:rsid w:val="17A35D31"/>
    <w:rsid w:val="17A96653"/>
    <w:rsid w:val="17AC60A9"/>
    <w:rsid w:val="17AD0E7C"/>
    <w:rsid w:val="17AE1A29"/>
    <w:rsid w:val="17AF1790"/>
    <w:rsid w:val="17B028E3"/>
    <w:rsid w:val="17B2731D"/>
    <w:rsid w:val="17B46638"/>
    <w:rsid w:val="17BD0BDC"/>
    <w:rsid w:val="17CB69C5"/>
    <w:rsid w:val="17D63812"/>
    <w:rsid w:val="17D912A0"/>
    <w:rsid w:val="17DD397D"/>
    <w:rsid w:val="17DE1B2D"/>
    <w:rsid w:val="17EF3A88"/>
    <w:rsid w:val="17F1593F"/>
    <w:rsid w:val="18072969"/>
    <w:rsid w:val="180C1452"/>
    <w:rsid w:val="18146B19"/>
    <w:rsid w:val="181A403B"/>
    <w:rsid w:val="182E79B3"/>
    <w:rsid w:val="18360DD0"/>
    <w:rsid w:val="1842777B"/>
    <w:rsid w:val="18430508"/>
    <w:rsid w:val="184E31C2"/>
    <w:rsid w:val="185365BF"/>
    <w:rsid w:val="18576998"/>
    <w:rsid w:val="1867216A"/>
    <w:rsid w:val="18694035"/>
    <w:rsid w:val="18746D31"/>
    <w:rsid w:val="18890E73"/>
    <w:rsid w:val="188E66C6"/>
    <w:rsid w:val="18BB5215"/>
    <w:rsid w:val="18BC4EC5"/>
    <w:rsid w:val="18BF080A"/>
    <w:rsid w:val="18D93B14"/>
    <w:rsid w:val="18EC395A"/>
    <w:rsid w:val="18F37025"/>
    <w:rsid w:val="18F4178F"/>
    <w:rsid w:val="18F57676"/>
    <w:rsid w:val="18F9428E"/>
    <w:rsid w:val="1901206B"/>
    <w:rsid w:val="190529F3"/>
    <w:rsid w:val="191D6E46"/>
    <w:rsid w:val="19211D4C"/>
    <w:rsid w:val="1932711D"/>
    <w:rsid w:val="193C31BC"/>
    <w:rsid w:val="194652A7"/>
    <w:rsid w:val="194C5D8E"/>
    <w:rsid w:val="194D5EA2"/>
    <w:rsid w:val="19665207"/>
    <w:rsid w:val="196C3925"/>
    <w:rsid w:val="196E2A28"/>
    <w:rsid w:val="197570FF"/>
    <w:rsid w:val="197C38F4"/>
    <w:rsid w:val="19A0193F"/>
    <w:rsid w:val="19A60FD9"/>
    <w:rsid w:val="19B60574"/>
    <w:rsid w:val="19C31523"/>
    <w:rsid w:val="19CB6686"/>
    <w:rsid w:val="19DF5FB8"/>
    <w:rsid w:val="19E50C59"/>
    <w:rsid w:val="19E51ACE"/>
    <w:rsid w:val="19EC2DA2"/>
    <w:rsid w:val="19ED2F35"/>
    <w:rsid w:val="19F64AF1"/>
    <w:rsid w:val="1A0A2EC0"/>
    <w:rsid w:val="1A143A09"/>
    <w:rsid w:val="1A1C3150"/>
    <w:rsid w:val="1A1C5C02"/>
    <w:rsid w:val="1A241393"/>
    <w:rsid w:val="1A246465"/>
    <w:rsid w:val="1A2576CD"/>
    <w:rsid w:val="1A285F49"/>
    <w:rsid w:val="1A295BD9"/>
    <w:rsid w:val="1A29754B"/>
    <w:rsid w:val="1A2C77DE"/>
    <w:rsid w:val="1A3366A8"/>
    <w:rsid w:val="1A37500D"/>
    <w:rsid w:val="1A393947"/>
    <w:rsid w:val="1A4938B2"/>
    <w:rsid w:val="1A4B1C44"/>
    <w:rsid w:val="1A524D25"/>
    <w:rsid w:val="1A553449"/>
    <w:rsid w:val="1A6061FF"/>
    <w:rsid w:val="1A6820E6"/>
    <w:rsid w:val="1A7171D0"/>
    <w:rsid w:val="1A8341D5"/>
    <w:rsid w:val="1A836205"/>
    <w:rsid w:val="1A83716F"/>
    <w:rsid w:val="1A882CBF"/>
    <w:rsid w:val="1A9050EB"/>
    <w:rsid w:val="1A94453A"/>
    <w:rsid w:val="1A9B10DB"/>
    <w:rsid w:val="1AAB71C6"/>
    <w:rsid w:val="1AB11E92"/>
    <w:rsid w:val="1AB75A02"/>
    <w:rsid w:val="1AB84FAE"/>
    <w:rsid w:val="1AC435D8"/>
    <w:rsid w:val="1AC76155"/>
    <w:rsid w:val="1AC76DF0"/>
    <w:rsid w:val="1AC94C99"/>
    <w:rsid w:val="1AC95BD0"/>
    <w:rsid w:val="1ACA37CD"/>
    <w:rsid w:val="1AD079FC"/>
    <w:rsid w:val="1ADA0AC1"/>
    <w:rsid w:val="1AE663E9"/>
    <w:rsid w:val="1AE94DB1"/>
    <w:rsid w:val="1AF20B5E"/>
    <w:rsid w:val="1AF915C2"/>
    <w:rsid w:val="1AFC2F3E"/>
    <w:rsid w:val="1B0719CC"/>
    <w:rsid w:val="1B09565B"/>
    <w:rsid w:val="1B0E73A6"/>
    <w:rsid w:val="1B106DCC"/>
    <w:rsid w:val="1B1837CD"/>
    <w:rsid w:val="1B1D5AC2"/>
    <w:rsid w:val="1B2A35C4"/>
    <w:rsid w:val="1B2D759B"/>
    <w:rsid w:val="1B3501FE"/>
    <w:rsid w:val="1B4D4BD7"/>
    <w:rsid w:val="1B6820B8"/>
    <w:rsid w:val="1B6A170F"/>
    <w:rsid w:val="1B6A60FA"/>
    <w:rsid w:val="1B7156DA"/>
    <w:rsid w:val="1B770817"/>
    <w:rsid w:val="1B776E70"/>
    <w:rsid w:val="1B7A4807"/>
    <w:rsid w:val="1B7B6C8C"/>
    <w:rsid w:val="1B81525F"/>
    <w:rsid w:val="1B992330"/>
    <w:rsid w:val="1B9A2198"/>
    <w:rsid w:val="1BA11DA2"/>
    <w:rsid w:val="1BA4355C"/>
    <w:rsid w:val="1BA807E8"/>
    <w:rsid w:val="1BC27BAC"/>
    <w:rsid w:val="1BCA5F4D"/>
    <w:rsid w:val="1BD30B99"/>
    <w:rsid w:val="1BDD4DE1"/>
    <w:rsid w:val="1BF14125"/>
    <w:rsid w:val="1C174A5E"/>
    <w:rsid w:val="1C2352A7"/>
    <w:rsid w:val="1C2D3086"/>
    <w:rsid w:val="1C36422E"/>
    <w:rsid w:val="1C3C3C95"/>
    <w:rsid w:val="1C3C56C9"/>
    <w:rsid w:val="1C3F13EC"/>
    <w:rsid w:val="1C3F647C"/>
    <w:rsid w:val="1C4A4F88"/>
    <w:rsid w:val="1C4C7E65"/>
    <w:rsid w:val="1C4F6932"/>
    <w:rsid w:val="1C534DE0"/>
    <w:rsid w:val="1C63351B"/>
    <w:rsid w:val="1C6F249B"/>
    <w:rsid w:val="1C961C2A"/>
    <w:rsid w:val="1CA6502A"/>
    <w:rsid w:val="1CA91FE1"/>
    <w:rsid w:val="1CB5041D"/>
    <w:rsid w:val="1CC41C21"/>
    <w:rsid w:val="1CC867A0"/>
    <w:rsid w:val="1CD0259C"/>
    <w:rsid w:val="1CD852E5"/>
    <w:rsid w:val="1CDF48C5"/>
    <w:rsid w:val="1CE70FB2"/>
    <w:rsid w:val="1CE90055"/>
    <w:rsid w:val="1CEA0330"/>
    <w:rsid w:val="1CEC2B3E"/>
    <w:rsid w:val="1CED5082"/>
    <w:rsid w:val="1CED5C90"/>
    <w:rsid w:val="1CFA3791"/>
    <w:rsid w:val="1CFE0B9A"/>
    <w:rsid w:val="1D0205B4"/>
    <w:rsid w:val="1D0A4631"/>
    <w:rsid w:val="1D0D31E0"/>
    <w:rsid w:val="1D0E0D89"/>
    <w:rsid w:val="1D133BD2"/>
    <w:rsid w:val="1D1F349E"/>
    <w:rsid w:val="1D24052A"/>
    <w:rsid w:val="1D2B4AD3"/>
    <w:rsid w:val="1D3058D7"/>
    <w:rsid w:val="1D4A521E"/>
    <w:rsid w:val="1D5A219E"/>
    <w:rsid w:val="1D5C0611"/>
    <w:rsid w:val="1D733536"/>
    <w:rsid w:val="1D7686AA"/>
    <w:rsid w:val="1D772D50"/>
    <w:rsid w:val="1D78774F"/>
    <w:rsid w:val="1D7C5D78"/>
    <w:rsid w:val="1D860774"/>
    <w:rsid w:val="1D9531D6"/>
    <w:rsid w:val="1D9C27AB"/>
    <w:rsid w:val="1DAF0B0B"/>
    <w:rsid w:val="1DB1562D"/>
    <w:rsid w:val="1DB30F99"/>
    <w:rsid w:val="1DB45D52"/>
    <w:rsid w:val="1DB47768"/>
    <w:rsid w:val="1DC11BA0"/>
    <w:rsid w:val="1DC56FC5"/>
    <w:rsid w:val="1DC625A0"/>
    <w:rsid w:val="1DCB20BE"/>
    <w:rsid w:val="1DDA3BD4"/>
    <w:rsid w:val="1DDB4370"/>
    <w:rsid w:val="1DDD59E7"/>
    <w:rsid w:val="1DDE776F"/>
    <w:rsid w:val="1DE24229"/>
    <w:rsid w:val="1DE44BD4"/>
    <w:rsid w:val="1DE81558"/>
    <w:rsid w:val="1DEE05D0"/>
    <w:rsid w:val="1DF40E67"/>
    <w:rsid w:val="1DFE5EED"/>
    <w:rsid w:val="1E0E0B87"/>
    <w:rsid w:val="1E0F1030"/>
    <w:rsid w:val="1E10410D"/>
    <w:rsid w:val="1E161F2C"/>
    <w:rsid w:val="1E182E21"/>
    <w:rsid w:val="1E28137F"/>
    <w:rsid w:val="1E296739"/>
    <w:rsid w:val="1E34010F"/>
    <w:rsid w:val="1E3E516A"/>
    <w:rsid w:val="1E42106F"/>
    <w:rsid w:val="1E470974"/>
    <w:rsid w:val="1E48743B"/>
    <w:rsid w:val="1E505DFB"/>
    <w:rsid w:val="1E5659E9"/>
    <w:rsid w:val="1E6B4009"/>
    <w:rsid w:val="1E6E37E2"/>
    <w:rsid w:val="1E9E0462"/>
    <w:rsid w:val="1EA728FA"/>
    <w:rsid w:val="1EA731C1"/>
    <w:rsid w:val="1EAB5806"/>
    <w:rsid w:val="1EAE7906"/>
    <w:rsid w:val="1EAF02C7"/>
    <w:rsid w:val="1EB1045C"/>
    <w:rsid w:val="1EB52B6A"/>
    <w:rsid w:val="1EC031A5"/>
    <w:rsid w:val="1EE34DD7"/>
    <w:rsid w:val="1EE47470"/>
    <w:rsid w:val="1EEF418F"/>
    <w:rsid w:val="1EF54BEB"/>
    <w:rsid w:val="1EFB52BB"/>
    <w:rsid w:val="1F016D75"/>
    <w:rsid w:val="1F085F91"/>
    <w:rsid w:val="1F0D2372"/>
    <w:rsid w:val="1F0E4FEE"/>
    <w:rsid w:val="1F185E6D"/>
    <w:rsid w:val="1F232C97"/>
    <w:rsid w:val="1F240CF0"/>
    <w:rsid w:val="1F262B56"/>
    <w:rsid w:val="1F2667DB"/>
    <w:rsid w:val="1F2B3848"/>
    <w:rsid w:val="1F341150"/>
    <w:rsid w:val="1F3B254F"/>
    <w:rsid w:val="1F4509F7"/>
    <w:rsid w:val="1F50752E"/>
    <w:rsid w:val="1F58080E"/>
    <w:rsid w:val="1F6B21D5"/>
    <w:rsid w:val="1F6F0C2B"/>
    <w:rsid w:val="1F8F3B4A"/>
    <w:rsid w:val="1F950029"/>
    <w:rsid w:val="1F9706CC"/>
    <w:rsid w:val="1F9E121E"/>
    <w:rsid w:val="1FA173ED"/>
    <w:rsid w:val="1FB62CA9"/>
    <w:rsid w:val="1FBB1D0E"/>
    <w:rsid w:val="1FBB7ACC"/>
    <w:rsid w:val="1FC16504"/>
    <w:rsid w:val="1FC16A07"/>
    <w:rsid w:val="1FC35DD8"/>
    <w:rsid w:val="1FC62FD4"/>
    <w:rsid w:val="1FC6473A"/>
    <w:rsid w:val="1FC72169"/>
    <w:rsid w:val="1FD3049A"/>
    <w:rsid w:val="1FD51000"/>
    <w:rsid w:val="1FDC2BD5"/>
    <w:rsid w:val="1FDE2C12"/>
    <w:rsid w:val="1FE43FA1"/>
    <w:rsid w:val="1FF2514E"/>
    <w:rsid w:val="1FF94191"/>
    <w:rsid w:val="1FFB7497"/>
    <w:rsid w:val="200407D8"/>
    <w:rsid w:val="200B23ED"/>
    <w:rsid w:val="200C68BA"/>
    <w:rsid w:val="20125E57"/>
    <w:rsid w:val="201A343E"/>
    <w:rsid w:val="20202A33"/>
    <w:rsid w:val="20230B28"/>
    <w:rsid w:val="202E7B07"/>
    <w:rsid w:val="202F6387"/>
    <w:rsid w:val="202F6AA7"/>
    <w:rsid w:val="20301D94"/>
    <w:rsid w:val="203F2955"/>
    <w:rsid w:val="204535DA"/>
    <w:rsid w:val="204B0A06"/>
    <w:rsid w:val="20535F35"/>
    <w:rsid w:val="20554113"/>
    <w:rsid w:val="206842B6"/>
    <w:rsid w:val="20796DDF"/>
    <w:rsid w:val="207D1788"/>
    <w:rsid w:val="208130FC"/>
    <w:rsid w:val="208B6E1B"/>
    <w:rsid w:val="208C1BEC"/>
    <w:rsid w:val="208E0B23"/>
    <w:rsid w:val="20963186"/>
    <w:rsid w:val="20AC5E1A"/>
    <w:rsid w:val="20B00560"/>
    <w:rsid w:val="20B140D5"/>
    <w:rsid w:val="20B23A1B"/>
    <w:rsid w:val="20C55B80"/>
    <w:rsid w:val="20C74CC2"/>
    <w:rsid w:val="20D52773"/>
    <w:rsid w:val="20DC6636"/>
    <w:rsid w:val="20E4592F"/>
    <w:rsid w:val="20EB1F01"/>
    <w:rsid w:val="20F12A4E"/>
    <w:rsid w:val="210C58BB"/>
    <w:rsid w:val="210E0AAE"/>
    <w:rsid w:val="2111053B"/>
    <w:rsid w:val="21151641"/>
    <w:rsid w:val="2117534C"/>
    <w:rsid w:val="211E264E"/>
    <w:rsid w:val="21256ADF"/>
    <w:rsid w:val="212C0AD1"/>
    <w:rsid w:val="213C467A"/>
    <w:rsid w:val="21412259"/>
    <w:rsid w:val="21456355"/>
    <w:rsid w:val="214747E7"/>
    <w:rsid w:val="216058A9"/>
    <w:rsid w:val="21651D3E"/>
    <w:rsid w:val="216A0BF9"/>
    <w:rsid w:val="216B0107"/>
    <w:rsid w:val="216D4ED8"/>
    <w:rsid w:val="216E2604"/>
    <w:rsid w:val="21846C2A"/>
    <w:rsid w:val="218A52BB"/>
    <w:rsid w:val="2193671F"/>
    <w:rsid w:val="21937D52"/>
    <w:rsid w:val="21961E9A"/>
    <w:rsid w:val="219E6193"/>
    <w:rsid w:val="21A221B3"/>
    <w:rsid w:val="21AD099B"/>
    <w:rsid w:val="21AE2AB8"/>
    <w:rsid w:val="21B037EE"/>
    <w:rsid w:val="21B87537"/>
    <w:rsid w:val="21B93937"/>
    <w:rsid w:val="21BB4969"/>
    <w:rsid w:val="21BE319C"/>
    <w:rsid w:val="21D05231"/>
    <w:rsid w:val="21D544E9"/>
    <w:rsid w:val="21E33E9A"/>
    <w:rsid w:val="21E70A4E"/>
    <w:rsid w:val="21EB3D26"/>
    <w:rsid w:val="21F737A6"/>
    <w:rsid w:val="21FF0D89"/>
    <w:rsid w:val="22025BAB"/>
    <w:rsid w:val="220C4168"/>
    <w:rsid w:val="222213EA"/>
    <w:rsid w:val="22301D20"/>
    <w:rsid w:val="22342FBD"/>
    <w:rsid w:val="223567EF"/>
    <w:rsid w:val="22397841"/>
    <w:rsid w:val="223A4C8D"/>
    <w:rsid w:val="223E0067"/>
    <w:rsid w:val="22421B7E"/>
    <w:rsid w:val="224376E1"/>
    <w:rsid w:val="2246610D"/>
    <w:rsid w:val="224701B7"/>
    <w:rsid w:val="224E7044"/>
    <w:rsid w:val="22577890"/>
    <w:rsid w:val="225B2C40"/>
    <w:rsid w:val="22676F46"/>
    <w:rsid w:val="226D394F"/>
    <w:rsid w:val="227F4BB4"/>
    <w:rsid w:val="22892265"/>
    <w:rsid w:val="228C7A65"/>
    <w:rsid w:val="229668A2"/>
    <w:rsid w:val="2297354C"/>
    <w:rsid w:val="229F2EFE"/>
    <w:rsid w:val="22C24A6D"/>
    <w:rsid w:val="22CA6008"/>
    <w:rsid w:val="22CB4F96"/>
    <w:rsid w:val="22CF6087"/>
    <w:rsid w:val="22D80AB8"/>
    <w:rsid w:val="22E36965"/>
    <w:rsid w:val="22E57314"/>
    <w:rsid w:val="22FF6B94"/>
    <w:rsid w:val="23010B24"/>
    <w:rsid w:val="23037D87"/>
    <w:rsid w:val="23056708"/>
    <w:rsid w:val="230E621A"/>
    <w:rsid w:val="231454D7"/>
    <w:rsid w:val="231F6B5C"/>
    <w:rsid w:val="23282AB8"/>
    <w:rsid w:val="2342326F"/>
    <w:rsid w:val="234D14AA"/>
    <w:rsid w:val="234E6DF2"/>
    <w:rsid w:val="23503466"/>
    <w:rsid w:val="23553B2D"/>
    <w:rsid w:val="23584EF9"/>
    <w:rsid w:val="235A2D56"/>
    <w:rsid w:val="23645503"/>
    <w:rsid w:val="23732D31"/>
    <w:rsid w:val="23741FEA"/>
    <w:rsid w:val="237A5348"/>
    <w:rsid w:val="23860144"/>
    <w:rsid w:val="239075D5"/>
    <w:rsid w:val="239613D2"/>
    <w:rsid w:val="23A01B1A"/>
    <w:rsid w:val="23A215B8"/>
    <w:rsid w:val="23A25897"/>
    <w:rsid w:val="23A409EE"/>
    <w:rsid w:val="23A74898"/>
    <w:rsid w:val="23B1063E"/>
    <w:rsid w:val="23BD56CC"/>
    <w:rsid w:val="23C30C72"/>
    <w:rsid w:val="23D93468"/>
    <w:rsid w:val="23EA0263"/>
    <w:rsid w:val="23F96231"/>
    <w:rsid w:val="24091505"/>
    <w:rsid w:val="240C7E66"/>
    <w:rsid w:val="24263CBA"/>
    <w:rsid w:val="24286B52"/>
    <w:rsid w:val="24286F88"/>
    <w:rsid w:val="246444F3"/>
    <w:rsid w:val="246758CC"/>
    <w:rsid w:val="247052DC"/>
    <w:rsid w:val="24712EC3"/>
    <w:rsid w:val="2474094D"/>
    <w:rsid w:val="24741D97"/>
    <w:rsid w:val="24805BA3"/>
    <w:rsid w:val="2484031D"/>
    <w:rsid w:val="248543D3"/>
    <w:rsid w:val="249B0A8C"/>
    <w:rsid w:val="249D7409"/>
    <w:rsid w:val="249E3364"/>
    <w:rsid w:val="24A65CC9"/>
    <w:rsid w:val="24B0752B"/>
    <w:rsid w:val="24BB359F"/>
    <w:rsid w:val="24C2395A"/>
    <w:rsid w:val="24D041F6"/>
    <w:rsid w:val="24DC602C"/>
    <w:rsid w:val="24DE5CAF"/>
    <w:rsid w:val="24E67076"/>
    <w:rsid w:val="24EA263A"/>
    <w:rsid w:val="24EF5FF5"/>
    <w:rsid w:val="24F15196"/>
    <w:rsid w:val="2504136D"/>
    <w:rsid w:val="250A3983"/>
    <w:rsid w:val="250B29FE"/>
    <w:rsid w:val="250D3C35"/>
    <w:rsid w:val="2519649B"/>
    <w:rsid w:val="251C4AAF"/>
    <w:rsid w:val="251E0135"/>
    <w:rsid w:val="252D0AC4"/>
    <w:rsid w:val="252E056F"/>
    <w:rsid w:val="25414EE0"/>
    <w:rsid w:val="254351E5"/>
    <w:rsid w:val="25461F55"/>
    <w:rsid w:val="25517146"/>
    <w:rsid w:val="255860FF"/>
    <w:rsid w:val="255F7AB5"/>
    <w:rsid w:val="256718FC"/>
    <w:rsid w:val="25731841"/>
    <w:rsid w:val="25742600"/>
    <w:rsid w:val="25776C2C"/>
    <w:rsid w:val="257A27F7"/>
    <w:rsid w:val="257D4C7B"/>
    <w:rsid w:val="257F5678"/>
    <w:rsid w:val="25847D2C"/>
    <w:rsid w:val="258A1E09"/>
    <w:rsid w:val="25961F1B"/>
    <w:rsid w:val="25A33D2E"/>
    <w:rsid w:val="25A71CF8"/>
    <w:rsid w:val="25A9767B"/>
    <w:rsid w:val="25AE3087"/>
    <w:rsid w:val="25B360CD"/>
    <w:rsid w:val="25B82157"/>
    <w:rsid w:val="25C15EA3"/>
    <w:rsid w:val="25D34B9E"/>
    <w:rsid w:val="25D845A8"/>
    <w:rsid w:val="25E55941"/>
    <w:rsid w:val="25E802D7"/>
    <w:rsid w:val="25ED49A4"/>
    <w:rsid w:val="25F34F3E"/>
    <w:rsid w:val="25F850FE"/>
    <w:rsid w:val="25FE2519"/>
    <w:rsid w:val="25FF1E74"/>
    <w:rsid w:val="2603579F"/>
    <w:rsid w:val="260803E1"/>
    <w:rsid w:val="2608197C"/>
    <w:rsid w:val="260A7E2C"/>
    <w:rsid w:val="26155168"/>
    <w:rsid w:val="26162CCC"/>
    <w:rsid w:val="261A417E"/>
    <w:rsid w:val="261C7DF2"/>
    <w:rsid w:val="261D42B3"/>
    <w:rsid w:val="262147F6"/>
    <w:rsid w:val="26236584"/>
    <w:rsid w:val="262475DA"/>
    <w:rsid w:val="26247945"/>
    <w:rsid w:val="26267B6D"/>
    <w:rsid w:val="262A115F"/>
    <w:rsid w:val="26363B03"/>
    <w:rsid w:val="26386606"/>
    <w:rsid w:val="26395046"/>
    <w:rsid w:val="263C7F5A"/>
    <w:rsid w:val="26422463"/>
    <w:rsid w:val="264D164A"/>
    <w:rsid w:val="265172B6"/>
    <w:rsid w:val="265B1843"/>
    <w:rsid w:val="26624303"/>
    <w:rsid w:val="26651C5C"/>
    <w:rsid w:val="26660C66"/>
    <w:rsid w:val="26677FC7"/>
    <w:rsid w:val="267B1100"/>
    <w:rsid w:val="267B6DE2"/>
    <w:rsid w:val="2682494E"/>
    <w:rsid w:val="26853EEE"/>
    <w:rsid w:val="26915AE8"/>
    <w:rsid w:val="26935711"/>
    <w:rsid w:val="26971CBE"/>
    <w:rsid w:val="26983EC9"/>
    <w:rsid w:val="269943C5"/>
    <w:rsid w:val="269F0C21"/>
    <w:rsid w:val="26A71704"/>
    <w:rsid w:val="26AC6434"/>
    <w:rsid w:val="26B04CA7"/>
    <w:rsid w:val="26B66CFA"/>
    <w:rsid w:val="26BB7348"/>
    <w:rsid w:val="26C00BB3"/>
    <w:rsid w:val="26C16909"/>
    <w:rsid w:val="26C77CB5"/>
    <w:rsid w:val="26CE1144"/>
    <w:rsid w:val="26DB48FD"/>
    <w:rsid w:val="26DF6DCC"/>
    <w:rsid w:val="26ED5E31"/>
    <w:rsid w:val="26F02945"/>
    <w:rsid w:val="26FC2B73"/>
    <w:rsid w:val="270513CC"/>
    <w:rsid w:val="2708238B"/>
    <w:rsid w:val="27084A19"/>
    <w:rsid w:val="270E3AB7"/>
    <w:rsid w:val="270F2B48"/>
    <w:rsid w:val="27101411"/>
    <w:rsid w:val="27187272"/>
    <w:rsid w:val="271C514F"/>
    <w:rsid w:val="271F38A6"/>
    <w:rsid w:val="273677D8"/>
    <w:rsid w:val="274A3283"/>
    <w:rsid w:val="274C36AE"/>
    <w:rsid w:val="274E668D"/>
    <w:rsid w:val="274E68CF"/>
    <w:rsid w:val="274F0ABF"/>
    <w:rsid w:val="274F135C"/>
    <w:rsid w:val="27731843"/>
    <w:rsid w:val="278B6531"/>
    <w:rsid w:val="27A1325B"/>
    <w:rsid w:val="27A36A16"/>
    <w:rsid w:val="27B16E5E"/>
    <w:rsid w:val="27B31352"/>
    <w:rsid w:val="27BA5227"/>
    <w:rsid w:val="27C35795"/>
    <w:rsid w:val="27C56A08"/>
    <w:rsid w:val="27D561DC"/>
    <w:rsid w:val="27D621ED"/>
    <w:rsid w:val="27D86334"/>
    <w:rsid w:val="27DF5263"/>
    <w:rsid w:val="27E606F5"/>
    <w:rsid w:val="27F80097"/>
    <w:rsid w:val="27FA253C"/>
    <w:rsid w:val="27FD1DE5"/>
    <w:rsid w:val="2805523F"/>
    <w:rsid w:val="28096C9A"/>
    <w:rsid w:val="280F5728"/>
    <w:rsid w:val="280F766B"/>
    <w:rsid w:val="28107B00"/>
    <w:rsid w:val="28292E99"/>
    <w:rsid w:val="282F0BFD"/>
    <w:rsid w:val="28342CD8"/>
    <w:rsid w:val="283668A4"/>
    <w:rsid w:val="283D33AC"/>
    <w:rsid w:val="284269A9"/>
    <w:rsid w:val="285209B7"/>
    <w:rsid w:val="285A0AEA"/>
    <w:rsid w:val="285B34BA"/>
    <w:rsid w:val="285C3365"/>
    <w:rsid w:val="285F688F"/>
    <w:rsid w:val="286907D5"/>
    <w:rsid w:val="286A6213"/>
    <w:rsid w:val="286E1265"/>
    <w:rsid w:val="28751FE0"/>
    <w:rsid w:val="287F4F35"/>
    <w:rsid w:val="2885218B"/>
    <w:rsid w:val="28861510"/>
    <w:rsid w:val="28877D74"/>
    <w:rsid w:val="288C4565"/>
    <w:rsid w:val="288D78CB"/>
    <w:rsid w:val="289531EB"/>
    <w:rsid w:val="2896616C"/>
    <w:rsid w:val="2899783C"/>
    <w:rsid w:val="289E3886"/>
    <w:rsid w:val="28A80261"/>
    <w:rsid w:val="28AD43F2"/>
    <w:rsid w:val="28B8041C"/>
    <w:rsid w:val="28BA3E25"/>
    <w:rsid w:val="28BC7451"/>
    <w:rsid w:val="28BE24B8"/>
    <w:rsid w:val="28C106FC"/>
    <w:rsid w:val="28C419ED"/>
    <w:rsid w:val="28D561C5"/>
    <w:rsid w:val="28D72A9F"/>
    <w:rsid w:val="28D81B7D"/>
    <w:rsid w:val="28E77B6B"/>
    <w:rsid w:val="28EF2D30"/>
    <w:rsid w:val="28F21191"/>
    <w:rsid w:val="28F40A45"/>
    <w:rsid w:val="28F46771"/>
    <w:rsid w:val="28F827CB"/>
    <w:rsid w:val="28F951A2"/>
    <w:rsid w:val="28FB270F"/>
    <w:rsid w:val="28FB65E3"/>
    <w:rsid w:val="28FC15DF"/>
    <w:rsid w:val="290A2C07"/>
    <w:rsid w:val="290A5B73"/>
    <w:rsid w:val="290E4461"/>
    <w:rsid w:val="29127820"/>
    <w:rsid w:val="291853E7"/>
    <w:rsid w:val="2925720D"/>
    <w:rsid w:val="29296D5E"/>
    <w:rsid w:val="29312C5D"/>
    <w:rsid w:val="2938053B"/>
    <w:rsid w:val="2941768F"/>
    <w:rsid w:val="2944365B"/>
    <w:rsid w:val="29494C0B"/>
    <w:rsid w:val="294C55C9"/>
    <w:rsid w:val="294D6867"/>
    <w:rsid w:val="2958038B"/>
    <w:rsid w:val="295F3EA5"/>
    <w:rsid w:val="29641EB1"/>
    <w:rsid w:val="29661C7A"/>
    <w:rsid w:val="29742150"/>
    <w:rsid w:val="297B7449"/>
    <w:rsid w:val="29954CAA"/>
    <w:rsid w:val="29A529F3"/>
    <w:rsid w:val="29AA2A6E"/>
    <w:rsid w:val="29B47F75"/>
    <w:rsid w:val="29CB2B0C"/>
    <w:rsid w:val="29E63965"/>
    <w:rsid w:val="29E84CF0"/>
    <w:rsid w:val="29E97193"/>
    <w:rsid w:val="29EA2ED8"/>
    <w:rsid w:val="29FA2955"/>
    <w:rsid w:val="2A0F2C9B"/>
    <w:rsid w:val="2A0F5E0A"/>
    <w:rsid w:val="2A144CAD"/>
    <w:rsid w:val="2A1517CA"/>
    <w:rsid w:val="2A177333"/>
    <w:rsid w:val="2A1A0727"/>
    <w:rsid w:val="2A1E694D"/>
    <w:rsid w:val="2A230C9B"/>
    <w:rsid w:val="2A3938F5"/>
    <w:rsid w:val="2A506E02"/>
    <w:rsid w:val="2A5C1303"/>
    <w:rsid w:val="2A6D1640"/>
    <w:rsid w:val="2A7353F2"/>
    <w:rsid w:val="2A750617"/>
    <w:rsid w:val="2A7F3DC1"/>
    <w:rsid w:val="2A82446C"/>
    <w:rsid w:val="2A844FD4"/>
    <w:rsid w:val="2A89150D"/>
    <w:rsid w:val="2A942F21"/>
    <w:rsid w:val="2A9A62D0"/>
    <w:rsid w:val="2AA76BFC"/>
    <w:rsid w:val="2AAA27D6"/>
    <w:rsid w:val="2AAB29CF"/>
    <w:rsid w:val="2AB1370D"/>
    <w:rsid w:val="2AB311BB"/>
    <w:rsid w:val="2ABB53C0"/>
    <w:rsid w:val="2ACE05A7"/>
    <w:rsid w:val="2AD26F15"/>
    <w:rsid w:val="2AE507EE"/>
    <w:rsid w:val="2AEF42E9"/>
    <w:rsid w:val="2AF7727E"/>
    <w:rsid w:val="2AFE6EA3"/>
    <w:rsid w:val="2B02771F"/>
    <w:rsid w:val="2B066B33"/>
    <w:rsid w:val="2B090037"/>
    <w:rsid w:val="2B0D0850"/>
    <w:rsid w:val="2B221CF6"/>
    <w:rsid w:val="2B271A58"/>
    <w:rsid w:val="2B42570E"/>
    <w:rsid w:val="2B426755"/>
    <w:rsid w:val="2B445AF4"/>
    <w:rsid w:val="2B4C5980"/>
    <w:rsid w:val="2B50587C"/>
    <w:rsid w:val="2B582894"/>
    <w:rsid w:val="2B5C1691"/>
    <w:rsid w:val="2B5F0F21"/>
    <w:rsid w:val="2B5F3697"/>
    <w:rsid w:val="2B64724D"/>
    <w:rsid w:val="2B677653"/>
    <w:rsid w:val="2B6B69C1"/>
    <w:rsid w:val="2B6F4780"/>
    <w:rsid w:val="2B70070F"/>
    <w:rsid w:val="2B7A33AE"/>
    <w:rsid w:val="2B9C1BCC"/>
    <w:rsid w:val="2BA47005"/>
    <w:rsid w:val="2BA54F2C"/>
    <w:rsid w:val="2BAA0FE6"/>
    <w:rsid w:val="2BB86A0D"/>
    <w:rsid w:val="2BB94CB1"/>
    <w:rsid w:val="2BB95E99"/>
    <w:rsid w:val="2BBD4FAA"/>
    <w:rsid w:val="2BC5678F"/>
    <w:rsid w:val="2BCE7FDF"/>
    <w:rsid w:val="2BD72A2F"/>
    <w:rsid w:val="2BD770BB"/>
    <w:rsid w:val="2BDE3829"/>
    <w:rsid w:val="2BE47876"/>
    <w:rsid w:val="2BF35C97"/>
    <w:rsid w:val="2BFB23FB"/>
    <w:rsid w:val="2C091FD6"/>
    <w:rsid w:val="2C0A4AEB"/>
    <w:rsid w:val="2C105F31"/>
    <w:rsid w:val="2C124050"/>
    <w:rsid w:val="2C1452FD"/>
    <w:rsid w:val="2C32238D"/>
    <w:rsid w:val="2C363CF4"/>
    <w:rsid w:val="2C370DC2"/>
    <w:rsid w:val="2C3818FC"/>
    <w:rsid w:val="2C390F08"/>
    <w:rsid w:val="2C3971FB"/>
    <w:rsid w:val="2C4E54CF"/>
    <w:rsid w:val="2C556723"/>
    <w:rsid w:val="2C586430"/>
    <w:rsid w:val="2C674CE8"/>
    <w:rsid w:val="2C6943F6"/>
    <w:rsid w:val="2C695F59"/>
    <w:rsid w:val="2C6D233B"/>
    <w:rsid w:val="2C77391E"/>
    <w:rsid w:val="2C8F0ED3"/>
    <w:rsid w:val="2C9B4E32"/>
    <w:rsid w:val="2C9E03F6"/>
    <w:rsid w:val="2CAD5E46"/>
    <w:rsid w:val="2CAF07F8"/>
    <w:rsid w:val="2CB87090"/>
    <w:rsid w:val="2CB95AB9"/>
    <w:rsid w:val="2CC24862"/>
    <w:rsid w:val="2CD277B3"/>
    <w:rsid w:val="2CD50A22"/>
    <w:rsid w:val="2CD76FB7"/>
    <w:rsid w:val="2CE34098"/>
    <w:rsid w:val="2CE37ABA"/>
    <w:rsid w:val="2CFC4C1F"/>
    <w:rsid w:val="2CFD5684"/>
    <w:rsid w:val="2D017AEB"/>
    <w:rsid w:val="2D172F75"/>
    <w:rsid w:val="2D2252FE"/>
    <w:rsid w:val="2D392459"/>
    <w:rsid w:val="2D3D4CAA"/>
    <w:rsid w:val="2D4314FC"/>
    <w:rsid w:val="2D4B534E"/>
    <w:rsid w:val="2D5A2EC7"/>
    <w:rsid w:val="2D614EA0"/>
    <w:rsid w:val="2D6D4414"/>
    <w:rsid w:val="2D764AE5"/>
    <w:rsid w:val="2D776C32"/>
    <w:rsid w:val="2D7B456B"/>
    <w:rsid w:val="2D845CE8"/>
    <w:rsid w:val="2D8D7A26"/>
    <w:rsid w:val="2D8E795D"/>
    <w:rsid w:val="2D907B1B"/>
    <w:rsid w:val="2DC634E5"/>
    <w:rsid w:val="2DCF44E2"/>
    <w:rsid w:val="2DDD275B"/>
    <w:rsid w:val="2DE24215"/>
    <w:rsid w:val="2DE53D06"/>
    <w:rsid w:val="2DF44604"/>
    <w:rsid w:val="2E020190"/>
    <w:rsid w:val="2E0F48DF"/>
    <w:rsid w:val="2E1A575D"/>
    <w:rsid w:val="2E1C2F59"/>
    <w:rsid w:val="2E210A62"/>
    <w:rsid w:val="2E232138"/>
    <w:rsid w:val="2E295745"/>
    <w:rsid w:val="2E2C36E3"/>
    <w:rsid w:val="2E30575E"/>
    <w:rsid w:val="2E3579BD"/>
    <w:rsid w:val="2E4610C5"/>
    <w:rsid w:val="2E48381C"/>
    <w:rsid w:val="2E4B5DB7"/>
    <w:rsid w:val="2E4D2A5B"/>
    <w:rsid w:val="2E4E753A"/>
    <w:rsid w:val="2E55425D"/>
    <w:rsid w:val="2E5A0372"/>
    <w:rsid w:val="2E6B420B"/>
    <w:rsid w:val="2E750BE6"/>
    <w:rsid w:val="2E81569C"/>
    <w:rsid w:val="2E845C94"/>
    <w:rsid w:val="2E9F3354"/>
    <w:rsid w:val="2EA27F7C"/>
    <w:rsid w:val="2EB060C2"/>
    <w:rsid w:val="2EB50501"/>
    <w:rsid w:val="2EB8596B"/>
    <w:rsid w:val="2EBB3596"/>
    <w:rsid w:val="2ECA5CB7"/>
    <w:rsid w:val="2ECD417D"/>
    <w:rsid w:val="2EF700B3"/>
    <w:rsid w:val="2EFC1307"/>
    <w:rsid w:val="2F074A25"/>
    <w:rsid w:val="2F0B582C"/>
    <w:rsid w:val="2F16166C"/>
    <w:rsid w:val="2F230642"/>
    <w:rsid w:val="2F2345B2"/>
    <w:rsid w:val="2F3611AE"/>
    <w:rsid w:val="2F416D1A"/>
    <w:rsid w:val="2F5B45E9"/>
    <w:rsid w:val="2F6101B9"/>
    <w:rsid w:val="2F6623BB"/>
    <w:rsid w:val="2F662C24"/>
    <w:rsid w:val="2F6B568F"/>
    <w:rsid w:val="2F7467BD"/>
    <w:rsid w:val="2F83752B"/>
    <w:rsid w:val="2F881167"/>
    <w:rsid w:val="2F961584"/>
    <w:rsid w:val="2F9673D9"/>
    <w:rsid w:val="2F9B0B20"/>
    <w:rsid w:val="2FB03554"/>
    <w:rsid w:val="2FB36139"/>
    <w:rsid w:val="2FB97B7D"/>
    <w:rsid w:val="2FBC180A"/>
    <w:rsid w:val="2FC27505"/>
    <w:rsid w:val="2FC4116C"/>
    <w:rsid w:val="2FC5115F"/>
    <w:rsid w:val="2FCB18A0"/>
    <w:rsid w:val="2FD52F89"/>
    <w:rsid w:val="2FD60175"/>
    <w:rsid w:val="2FE07722"/>
    <w:rsid w:val="2FEB3CF4"/>
    <w:rsid w:val="2FED0C50"/>
    <w:rsid w:val="2FF44E89"/>
    <w:rsid w:val="2FFC44A6"/>
    <w:rsid w:val="300B3D83"/>
    <w:rsid w:val="300D5A0E"/>
    <w:rsid w:val="300E0F08"/>
    <w:rsid w:val="300E1349"/>
    <w:rsid w:val="30143F92"/>
    <w:rsid w:val="3025663B"/>
    <w:rsid w:val="30287ED2"/>
    <w:rsid w:val="30304270"/>
    <w:rsid w:val="303C2CD7"/>
    <w:rsid w:val="303C45C9"/>
    <w:rsid w:val="303D53DC"/>
    <w:rsid w:val="30416CA7"/>
    <w:rsid w:val="30601421"/>
    <w:rsid w:val="307016B5"/>
    <w:rsid w:val="3071344D"/>
    <w:rsid w:val="30783F2B"/>
    <w:rsid w:val="308109CF"/>
    <w:rsid w:val="308553C9"/>
    <w:rsid w:val="30881BCD"/>
    <w:rsid w:val="309657DE"/>
    <w:rsid w:val="30B600CF"/>
    <w:rsid w:val="30C916BD"/>
    <w:rsid w:val="30D5176B"/>
    <w:rsid w:val="30D82B81"/>
    <w:rsid w:val="30D96F7E"/>
    <w:rsid w:val="30F272EF"/>
    <w:rsid w:val="30FB0992"/>
    <w:rsid w:val="30FC5E01"/>
    <w:rsid w:val="31066686"/>
    <w:rsid w:val="31134789"/>
    <w:rsid w:val="31160F9B"/>
    <w:rsid w:val="31181FC7"/>
    <w:rsid w:val="31185B95"/>
    <w:rsid w:val="311F16A3"/>
    <w:rsid w:val="312F0DDF"/>
    <w:rsid w:val="31383FA4"/>
    <w:rsid w:val="313F76A2"/>
    <w:rsid w:val="3142359D"/>
    <w:rsid w:val="314518E6"/>
    <w:rsid w:val="31516151"/>
    <w:rsid w:val="315D01C0"/>
    <w:rsid w:val="315F1ED8"/>
    <w:rsid w:val="316F04CC"/>
    <w:rsid w:val="317017F5"/>
    <w:rsid w:val="317E4255"/>
    <w:rsid w:val="317E567A"/>
    <w:rsid w:val="318539A5"/>
    <w:rsid w:val="31972C6C"/>
    <w:rsid w:val="319C639F"/>
    <w:rsid w:val="31B6011D"/>
    <w:rsid w:val="31B83BD2"/>
    <w:rsid w:val="31BB1CA7"/>
    <w:rsid w:val="31C0486E"/>
    <w:rsid w:val="31C12416"/>
    <w:rsid w:val="31CB6D6E"/>
    <w:rsid w:val="31D229F9"/>
    <w:rsid w:val="31D45FF1"/>
    <w:rsid w:val="31D616B2"/>
    <w:rsid w:val="31DA1CC4"/>
    <w:rsid w:val="31E340B8"/>
    <w:rsid w:val="31F2170F"/>
    <w:rsid w:val="31F75B08"/>
    <w:rsid w:val="31FE3B67"/>
    <w:rsid w:val="32020ED9"/>
    <w:rsid w:val="320C4357"/>
    <w:rsid w:val="320C697E"/>
    <w:rsid w:val="3210328B"/>
    <w:rsid w:val="32182A2D"/>
    <w:rsid w:val="32186458"/>
    <w:rsid w:val="3236487D"/>
    <w:rsid w:val="32457006"/>
    <w:rsid w:val="32463916"/>
    <w:rsid w:val="324C7EAF"/>
    <w:rsid w:val="32515B37"/>
    <w:rsid w:val="325F3B0E"/>
    <w:rsid w:val="3267118D"/>
    <w:rsid w:val="32736D21"/>
    <w:rsid w:val="32747406"/>
    <w:rsid w:val="32774B56"/>
    <w:rsid w:val="3280648A"/>
    <w:rsid w:val="32901C3C"/>
    <w:rsid w:val="32935ADE"/>
    <w:rsid w:val="32965835"/>
    <w:rsid w:val="329A44C1"/>
    <w:rsid w:val="32A46981"/>
    <w:rsid w:val="32A54C02"/>
    <w:rsid w:val="32AA584D"/>
    <w:rsid w:val="32AE016A"/>
    <w:rsid w:val="32AF6BC2"/>
    <w:rsid w:val="32BA42FC"/>
    <w:rsid w:val="32BC0086"/>
    <w:rsid w:val="32BC0438"/>
    <w:rsid w:val="32C43EEA"/>
    <w:rsid w:val="32D30E68"/>
    <w:rsid w:val="32D474EC"/>
    <w:rsid w:val="32DA145D"/>
    <w:rsid w:val="32DE4623"/>
    <w:rsid w:val="32F23A74"/>
    <w:rsid w:val="32F50547"/>
    <w:rsid w:val="32F843F4"/>
    <w:rsid w:val="32FB536F"/>
    <w:rsid w:val="32FE11A1"/>
    <w:rsid w:val="33057AA5"/>
    <w:rsid w:val="33087EED"/>
    <w:rsid w:val="330A3B62"/>
    <w:rsid w:val="330B7EA6"/>
    <w:rsid w:val="330C5088"/>
    <w:rsid w:val="33105C1D"/>
    <w:rsid w:val="33143D67"/>
    <w:rsid w:val="33164B0C"/>
    <w:rsid w:val="332B5B5F"/>
    <w:rsid w:val="333332A5"/>
    <w:rsid w:val="333F0D86"/>
    <w:rsid w:val="33415717"/>
    <w:rsid w:val="33450260"/>
    <w:rsid w:val="335039CF"/>
    <w:rsid w:val="33513ACD"/>
    <w:rsid w:val="33541DC5"/>
    <w:rsid w:val="33591B8A"/>
    <w:rsid w:val="335B1DA7"/>
    <w:rsid w:val="335E602D"/>
    <w:rsid w:val="336441CE"/>
    <w:rsid w:val="33744D55"/>
    <w:rsid w:val="33767CB7"/>
    <w:rsid w:val="337C6572"/>
    <w:rsid w:val="33837901"/>
    <w:rsid w:val="33863ECA"/>
    <w:rsid w:val="33866EDA"/>
    <w:rsid w:val="338A5521"/>
    <w:rsid w:val="339130CD"/>
    <w:rsid w:val="33923FE8"/>
    <w:rsid w:val="339C32FF"/>
    <w:rsid w:val="339F04B3"/>
    <w:rsid w:val="33AA3E26"/>
    <w:rsid w:val="33AB4955"/>
    <w:rsid w:val="33B62D4D"/>
    <w:rsid w:val="33BB71B7"/>
    <w:rsid w:val="33C55CA7"/>
    <w:rsid w:val="33CF165B"/>
    <w:rsid w:val="33DC6096"/>
    <w:rsid w:val="33E050FA"/>
    <w:rsid w:val="33E64529"/>
    <w:rsid w:val="33E9563E"/>
    <w:rsid w:val="33ED2410"/>
    <w:rsid w:val="33F86541"/>
    <w:rsid w:val="340011CD"/>
    <w:rsid w:val="34142C4F"/>
    <w:rsid w:val="34152C74"/>
    <w:rsid w:val="341D61C9"/>
    <w:rsid w:val="341F46BA"/>
    <w:rsid w:val="34245417"/>
    <w:rsid w:val="342B17CD"/>
    <w:rsid w:val="342F52F7"/>
    <w:rsid w:val="34321327"/>
    <w:rsid w:val="34366616"/>
    <w:rsid w:val="34380B6A"/>
    <w:rsid w:val="34406D8F"/>
    <w:rsid w:val="34427CF9"/>
    <w:rsid w:val="34431C06"/>
    <w:rsid w:val="344E1C01"/>
    <w:rsid w:val="345068B6"/>
    <w:rsid w:val="34533777"/>
    <w:rsid w:val="34594B05"/>
    <w:rsid w:val="345F3A75"/>
    <w:rsid w:val="346101A7"/>
    <w:rsid w:val="346B6C5F"/>
    <w:rsid w:val="346F60D7"/>
    <w:rsid w:val="34720A3C"/>
    <w:rsid w:val="3473547C"/>
    <w:rsid w:val="34736D25"/>
    <w:rsid w:val="3479582F"/>
    <w:rsid w:val="34825E0A"/>
    <w:rsid w:val="348733AC"/>
    <w:rsid w:val="3489220E"/>
    <w:rsid w:val="349348ED"/>
    <w:rsid w:val="3498034E"/>
    <w:rsid w:val="34A01D78"/>
    <w:rsid w:val="34A36F37"/>
    <w:rsid w:val="34A47538"/>
    <w:rsid w:val="34AC2E87"/>
    <w:rsid w:val="34B12734"/>
    <w:rsid w:val="34B955A4"/>
    <w:rsid w:val="34C34A43"/>
    <w:rsid w:val="34C63AEA"/>
    <w:rsid w:val="34CD199F"/>
    <w:rsid w:val="34D2714C"/>
    <w:rsid w:val="34DD4369"/>
    <w:rsid w:val="34E73EBF"/>
    <w:rsid w:val="34F24D34"/>
    <w:rsid w:val="34FB5BBD"/>
    <w:rsid w:val="350155F3"/>
    <w:rsid w:val="35035985"/>
    <w:rsid w:val="350A5FCE"/>
    <w:rsid w:val="350C0823"/>
    <w:rsid w:val="350F671F"/>
    <w:rsid w:val="35154897"/>
    <w:rsid w:val="35220271"/>
    <w:rsid w:val="35221086"/>
    <w:rsid w:val="3543504E"/>
    <w:rsid w:val="354D669C"/>
    <w:rsid w:val="35562126"/>
    <w:rsid w:val="355A651A"/>
    <w:rsid w:val="356B24F3"/>
    <w:rsid w:val="35701367"/>
    <w:rsid w:val="358C0127"/>
    <w:rsid w:val="359D0A57"/>
    <w:rsid w:val="35A06690"/>
    <w:rsid w:val="35A17169"/>
    <w:rsid w:val="35A3072E"/>
    <w:rsid w:val="35A5610A"/>
    <w:rsid w:val="35A562A2"/>
    <w:rsid w:val="35A80AE2"/>
    <w:rsid w:val="35AB7BFD"/>
    <w:rsid w:val="35AE50D1"/>
    <w:rsid w:val="35B12EDE"/>
    <w:rsid w:val="35C73CA6"/>
    <w:rsid w:val="35CD026A"/>
    <w:rsid w:val="35DC2E29"/>
    <w:rsid w:val="35E66ABF"/>
    <w:rsid w:val="35E87EEF"/>
    <w:rsid w:val="35EA1F3B"/>
    <w:rsid w:val="35EA3267"/>
    <w:rsid w:val="35FA7A3C"/>
    <w:rsid w:val="36027A4F"/>
    <w:rsid w:val="36112898"/>
    <w:rsid w:val="361E1B63"/>
    <w:rsid w:val="362A49AB"/>
    <w:rsid w:val="363471F8"/>
    <w:rsid w:val="363D4937"/>
    <w:rsid w:val="363F77BE"/>
    <w:rsid w:val="36425C8E"/>
    <w:rsid w:val="3647730B"/>
    <w:rsid w:val="364E0736"/>
    <w:rsid w:val="36581EF8"/>
    <w:rsid w:val="365C49EA"/>
    <w:rsid w:val="365C7FFD"/>
    <w:rsid w:val="365E3F96"/>
    <w:rsid w:val="365E4655"/>
    <w:rsid w:val="3660305C"/>
    <w:rsid w:val="3667175C"/>
    <w:rsid w:val="366B7203"/>
    <w:rsid w:val="36780B29"/>
    <w:rsid w:val="3679148F"/>
    <w:rsid w:val="368C11C2"/>
    <w:rsid w:val="36B15AEB"/>
    <w:rsid w:val="36B32B42"/>
    <w:rsid w:val="36B5632B"/>
    <w:rsid w:val="36C31C31"/>
    <w:rsid w:val="36C84968"/>
    <w:rsid w:val="36C910C5"/>
    <w:rsid w:val="36DD557A"/>
    <w:rsid w:val="36E032BC"/>
    <w:rsid w:val="36EA5E3C"/>
    <w:rsid w:val="36F45C80"/>
    <w:rsid w:val="36FB53C2"/>
    <w:rsid w:val="36FF105B"/>
    <w:rsid w:val="370C414F"/>
    <w:rsid w:val="37166CDE"/>
    <w:rsid w:val="37197369"/>
    <w:rsid w:val="37250D2B"/>
    <w:rsid w:val="3737087E"/>
    <w:rsid w:val="37377380"/>
    <w:rsid w:val="37411FAD"/>
    <w:rsid w:val="374B4BD9"/>
    <w:rsid w:val="375735ED"/>
    <w:rsid w:val="37596763"/>
    <w:rsid w:val="375A4762"/>
    <w:rsid w:val="37641863"/>
    <w:rsid w:val="37673BCA"/>
    <w:rsid w:val="376E7ED9"/>
    <w:rsid w:val="376F1D17"/>
    <w:rsid w:val="376F3433"/>
    <w:rsid w:val="376F4E4C"/>
    <w:rsid w:val="37722262"/>
    <w:rsid w:val="37764F5D"/>
    <w:rsid w:val="377834F5"/>
    <w:rsid w:val="37862B8B"/>
    <w:rsid w:val="37884DFB"/>
    <w:rsid w:val="378C7416"/>
    <w:rsid w:val="379279F7"/>
    <w:rsid w:val="379A62A3"/>
    <w:rsid w:val="379D0759"/>
    <w:rsid w:val="37A36CBE"/>
    <w:rsid w:val="37AF4D02"/>
    <w:rsid w:val="37B4245D"/>
    <w:rsid w:val="37CE2EF0"/>
    <w:rsid w:val="37F106D4"/>
    <w:rsid w:val="37F677C3"/>
    <w:rsid w:val="38042FDA"/>
    <w:rsid w:val="381D6F6E"/>
    <w:rsid w:val="382F43FF"/>
    <w:rsid w:val="38303089"/>
    <w:rsid w:val="38392C84"/>
    <w:rsid w:val="384B0C09"/>
    <w:rsid w:val="38563E07"/>
    <w:rsid w:val="3856553F"/>
    <w:rsid w:val="386375C2"/>
    <w:rsid w:val="38767A34"/>
    <w:rsid w:val="38783A10"/>
    <w:rsid w:val="387B3C77"/>
    <w:rsid w:val="387D5266"/>
    <w:rsid w:val="387E5A94"/>
    <w:rsid w:val="388861A3"/>
    <w:rsid w:val="388D77A1"/>
    <w:rsid w:val="38956E5A"/>
    <w:rsid w:val="38960718"/>
    <w:rsid w:val="38975BFC"/>
    <w:rsid w:val="389C265D"/>
    <w:rsid w:val="38A00F55"/>
    <w:rsid w:val="38A2108D"/>
    <w:rsid w:val="38A333AB"/>
    <w:rsid w:val="38A85780"/>
    <w:rsid w:val="38AD19AF"/>
    <w:rsid w:val="38C027B0"/>
    <w:rsid w:val="38C64383"/>
    <w:rsid w:val="38CD5AE1"/>
    <w:rsid w:val="38D34E86"/>
    <w:rsid w:val="38DC7FE1"/>
    <w:rsid w:val="38E31298"/>
    <w:rsid w:val="38EC2374"/>
    <w:rsid w:val="38EC359F"/>
    <w:rsid w:val="38FB19DC"/>
    <w:rsid w:val="38FD63A7"/>
    <w:rsid w:val="390C2146"/>
    <w:rsid w:val="3917171C"/>
    <w:rsid w:val="39190B02"/>
    <w:rsid w:val="391A261B"/>
    <w:rsid w:val="391E4CEF"/>
    <w:rsid w:val="391F2B57"/>
    <w:rsid w:val="39201D95"/>
    <w:rsid w:val="39203E44"/>
    <w:rsid w:val="392077F5"/>
    <w:rsid w:val="392E6424"/>
    <w:rsid w:val="393A64E7"/>
    <w:rsid w:val="393C288A"/>
    <w:rsid w:val="3941031B"/>
    <w:rsid w:val="394B0CF1"/>
    <w:rsid w:val="39602B6C"/>
    <w:rsid w:val="39677FF6"/>
    <w:rsid w:val="39767802"/>
    <w:rsid w:val="397B038B"/>
    <w:rsid w:val="397B2DC2"/>
    <w:rsid w:val="398154AF"/>
    <w:rsid w:val="39916711"/>
    <w:rsid w:val="39A37565"/>
    <w:rsid w:val="39A64C77"/>
    <w:rsid w:val="39B645E5"/>
    <w:rsid w:val="39CD587C"/>
    <w:rsid w:val="39CD5D7A"/>
    <w:rsid w:val="39DA7E61"/>
    <w:rsid w:val="39F84A46"/>
    <w:rsid w:val="3A0D78F2"/>
    <w:rsid w:val="3A18720D"/>
    <w:rsid w:val="3A1960A7"/>
    <w:rsid w:val="3A201C9E"/>
    <w:rsid w:val="3A2537F5"/>
    <w:rsid w:val="3A267FED"/>
    <w:rsid w:val="3A2F176E"/>
    <w:rsid w:val="3A372822"/>
    <w:rsid w:val="3A375162"/>
    <w:rsid w:val="3A4A366A"/>
    <w:rsid w:val="3A4A561C"/>
    <w:rsid w:val="3A4E5CCC"/>
    <w:rsid w:val="3A5110DA"/>
    <w:rsid w:val="3A52002D"/>
    <w:rsid w:val="3A5B6852"/>
    <w:rsid w:val="3A5F6E5C"/>
    <w:rsid w:val="3A637645"/>
    <w:rsid w:val="3A6502A6"/>
    <w:rsid w:val="3A6937EF"/>
    <w:rsid w:val="3A7461F5"/>
    <w:rsid w:val="3A7635E7"/>
    <w:rsid w:val="3A79380C"/>
    <w:rsid w:val="3A794498"/>
    <w:rsid w:val="3A7C099D"/>
    <w:rsid w:val="3A7D3093"/>
    <w:rsid w:val="3A887EF3"/>
    <w:rsid w:val="3A8C2D63"/>
    <w:rsid w:val="3A8D72B7"/>
    <w:rsid w:val="3A99600A"/>
    <w:rsid w:val="3A9C6922"/>
    <w:rsid w:val="3AA1710D"/>
    <w:rsid w:val="3AA60379"/>
    <w:rsid w:val="3AB34C84"/>
    <w:rsid w:val="3ABA79A3"/>
    <w:rsid w:val="3ABD4F4A"/>
    <w:rsid w:val="3ACF4987"/>
    <w:rsid w:val="3AD153F6"/>
    <w:rsid w:val="3ADB39CB"/>
    <w:rsid w:val="3AE16AEE"/>
    <w:rsid w:val="3AE80991"/>
    <w:rsid w:val="3B003F2D"/>
    <w:rsid w:val="3B04743C"/>
    <w:rsid w:val="3B0E1066"/>
    <w:rsid w:val="3B2C2F74"/>
    <w:rsid w:val="3B2F3945"/>
    <w:rsid w:val="3B3E6803"/>
    <w:rsid w:val="3B420F75"/>
    <w:rsid w:val="3B440ED6"/>
    <w:rsid w:val="3B460044"/>
    <w:rsid w:val="3B471CD2"/>
    <w:rsid w:val="3B482751"/>
    <w:rsid w:val="3B56333F"/>
    <w:rsid w:val="3B572D45"/>
    <w:rsid w:val="3B672905"/>
    <w:rsid w:val="3B797979"/>
    <w:rsid w:val="3B7B6C8C"/>
    <w:rsid w:val="3B8A48C8"/>
    <w:rsid w:val="3B8B7C9A"/>
    <w:rsid w:val="3B977AE1"/>
    <w:rsid w:val="3B9D5E5A"/>
    <w:rsid w:val="3B9F44B9"/>
    <w:rsid w:val="3BA605D4"/>
    <w:rsid w:val="3BA9564D"/>
    <w:rsid w:val="3BAE5737"/>
    <w:rsid w:val="3BB801F1"/>
    <w:rsid w:val="3BC15C5D"/>
    <w:rsid w:val="3BC210C9"/>
    <w:rsid w:val="3BC31F84"/>
    <w:rsid w:val="3BC520F7"/>
    <w:rsid w:val="3BCC52E3"/>
    <w:rsid w:val="3BD04DF5"/>
    <w:rsid w:val="3BD86796"/>
    <w:rsid w:val="3BE17B92"/>
    <w:rsid w:val="3BE60A52"/>
    <w:rsid w:val="3BE718BC"/>
    <w:rsid w:val="3BEE3333"/>
    <w:rsid w:val="3BF876BB"/>
    <w:rsid w:val="3BF87C65"/>
    <w:rsid w:val="3C025A83"/>
    <w:rsid w:val="3C1275F2"/>
    <w:rsid w:val="3C1B4410"/>
    <w:rsid w:val="3C1D2C6B"/>
    <w:rsid w:val="3C1F3773"/>
    <w:rsid w:val="3C1F3DC0"/>
    <w:rsid w:val="3C232D2B"/>
    <w:rsid w:val="3C315BF1"/>
    <w:rsid w:val="3C341846"/>
    <w:rsid w:val="3C3C6859"/>
    <w:rsid w:val="3C3F2833"/>
    <w:rsid w:val="3C42342B"/>
    <w:rsid w:val="3C461E13"/>
    <w:rsid w:val="3C4816E7"/>
    <w:rsid w:val="3C4B0D65"/>
    <w:rsid w:val="3C4F0F3D"/>
    <w:rsid w:val="3C5502BE"/>
    <w:rsid w:val="3C575DCE"/>
    <w:rsid w:val="3C687EC8"/>
    <w:rsid w:val="3C6E4EC6"/>
    <w:rsid w:val="3C7D1CAB"/>
    <w:rsid w:val="3C7D26C1"/>
    <w:rsid w:val="3C8F18C1"/>
    <w:rsid w:val="3C9D1F1B"/>
    <w:rsid w:val="3C9E10AB"/>
    <w:rsid w:val="3CA1704A"/>
    <w:rsid w:val="3CA65E19"/>
    <w:rsid w:val="3CA676B7"/>
    <w:rsid w:val="3CA77579"/>
    <w:rsid w:val="3CC558D0"/>
    <w:rsid w:val="3CCA034E"/>
    <w:rsid w:val="3CCC516A"/>
    <w:rsid w:val="3CD259E1"/>
    <w:rsid w:val="3CE75B05"/>
    <w:rsid w:val="3CEA279F"/>
    <w:rsid w:val="3CFB4C73"/>
    <w:rsid w:val="3D015131"/>
    <w:rsid w:val="3D037FDF"/>
    <w:rsid w:val="3D07231F"/>
    <w:rsid w:val="3D0F11A1"/>
    <w:rsid w:val="3D204412"/>
    <w:rsid w:val="3D232155"/>
    <w:rsid w:val="3D243DA9"/>
    <w:rsid w:val="3D257635"/>
    <w:rsid w:val="3D363702"/>
    <w:rsid w:val="3D3D229D"/>
    <w:rsid w:val="3D451972"/>
    <w:rsid w:val="3D4756E6"/>
    <w:rsid w:val="3D4C6778"/>
    <w:rsid w:val="3D593581"/>
    <w:rsid w:val="3D5A4509"/>
    <w:rsid w:val="3D5E7152"/>
    <w:rsid w:val="3D6251CA"/>
    <w:rsid w:val="3D633877"/>
    <w:rsid w:val="3D686779"/>
    <w:rsid w:val="3D6A5BDC"/>
    <w:rsid w:val="3D706AA7"/>
    <w:rsid w:val="3D7329B7"/>
    <w:rsid w:val="3D76313B"/>
    <w:rsid w:val="3D763250"/>
    <w:rsid w:val="3D7C1A62"/>
    <w:rsid w:val="3D97247E"/>
    <w:rsid w:val="3D976995"/>
    <w:rsid w:val="3DA037A5"/>
    <w:rsid w:val="3DA54918"/>
    <w:rsid w:val="3DA81802"/>
    <w:rsid w:val="3DB17760"/>
    <w:rsid w:val="3DB520E1"/>
    <w:rsid w:val="3DB73C74"/>
    <w:rsid w:val="3DBB1BA6"/>
    <w:rsid w:val="3DBB238D"/>
    <w:rsid w:val="3DBB413B"/>
    <w:rsid w:val="3DBE78A1"/>
    <w:rsid w:val="3DBF7CB6"/>
    <w:rsid w:val="3DC120E1"/>
    <w:rsid w:val="3DC729DF"/>
    <w:rsid w:val="3DC91A1B"/>
    <w:rsid w:val="3DCA0286"/>
    <w:rsid w:val="3DCB1CB6"/>
    <w:rsid w:val="3DCB5212"/>
    <w:rsid w:val="3DD72F9D"/>
    <w:rsid w:val="3DE746CF"/>
    <w:rsid w:val="3DEA47B6"/>
    <w:rsid w:val="3DEB3483"/>
    <w:rsid w:val="3DEB6CCE"/>
    <w:rsid w:val="3DF3106E"/>
    <w:rsid w:val="3DF82E77"/>
    <w:rsid w:val="3DFB09DB"/>
    <w:rsid w:val="3E0838EF"/>
    <w:rsid w:val="3E0879B8"/>
    <w:rsid w:val="3E0B16B7"/>
    <w:rsid w:val="3E0B78DB"/>
    <w:rsid w:val="3E146757"/>
    <w:rsid w:val="3E175815"/>
    <w:rsid w:val="3E1F2F33"/>
    <w:rsid w:val="3E2A2EC2"/>
    <w:rsid w:val="3E4072D3"/>
    <w:rsid w:val="3E4B54BF"/>
    <w:rsid w:val="3E53107B"/>
    <w:rsid w:val="3E565E71"/>
    <w:rsid w:val="3E596976"/>
    <w:rsid w:val="3E6532EA"/>
    <w:rsid w:val="3E6630A2"/>
    <w:rsid w:val="3E6856E8"/>
    <w:rsid w:val="3E6B2874"/>
    <w:rsid w:val="3E7201E0"/>
    <w:rsid w:val="3E786227"/>
    <w:rsid w:val="3E7F33BB"/>
    <w:rsid w:val="3E8059EE"/>
    <w:rsid w:val="3E816456"/>
    <w:rsid w:val="3E895FE7"/>
    <w:rsid w:val="3E8C02BD"/>
    <w:rsid w:val="3E935567"/>
    <w:rsid w:val="3E94568C"/>
    <w:rsid w:val="3E9C1BBD"/>
    <w:rsid w:val="3EA33702"/>
    <w:rsid w:val="3EA502F5"/>
    <w:rsid w:val="3EAC0565"/>
    <w:rsid w:val="3EAD7F28"/>
    <w:rsid w:val="3EAE3602"/>
    <w:rsid w:val="3EAF31B4"/>
    <w:rsid w:val="3EB21D13"/>
    <w:rsid w:val="3EBC460F"/>
    <w:rsid w:val="3EC05249"/>
    <w:rsid w:val="3EC4791E"/>
    <w:rsid w:val="3EC87A72"/>
    <w:rsid w:val="3EC923C1"/>
    <w:rsid w:val="3ED43706"/>
    <w:rsid w:val="3EE275CF"/>
    <w:rsid w:val="3EE94258"/>
    <w:rsid w:val="3EE9440D"/>
    <w:rsid w:val="3EEC10E8"/>
    <w:rsid w:val="3EEF3E45"/>
    <w:rsid w:val="3EF335E1"/>
    <w:rsid w:val="3EF87610"/>
    <w:rsid w:val="3F050D93"/>
    <w:rsid w:val="3F090120"/>
    <w:rsid w:val="3F0B58E4"/>
    <w:rsid w:val="3F1F0DEA"/>
    <w:rsid w:val="3F354BF4"/>
    <w:rsid w:val="3F3A73B4"/>
    <w:rsid w:val="3F435506"/>
    <w:rsid w:val="3F467126"/>
    <w:rsid w:val="3F491387"/>
    <w:rsid w:val="3F4F47EF"/>
    <w:rsid w:val="3F61152B"/>
    <w:rsid w:val="3F795781"/>
    <w:rsid w:val="3F7E22C1"/>
    <w:rsid w:val="3F8413D6"/>
    <w:rsid w:val="3F8E4991"/>
    <w:rsid w:val="3F9A1C79"/>
    <w:rsid w:val="3FA63EAF"/>
    <w:rsid w:val="3FA725FB"/>
    <w:rsid w:val="3FA9074E"/>
    <w:rsid w:val="3FAA4098"/>
    <w:rsid w:val="3FC03C8B"/>
    <w:rsid w:val="3FC60617"/>
    <w:rsid w:val="3FE44B85"/>
    <w:rsid w:val="3FE71217"/>
    <w:rsid w:val="3FEC53DA"/>
    <w:rsid w:val="3FF30828"/>
    <w:rsid w:val="3FF42B09"/>
    <w:rsid w:val="3FF76314"/>
    <w:rsid w:val="3FFE2FA7"/>
    <w:rsid w:val="3FFF0C57"/>
    <w:rsid w:val="4002328A"/>
    <w:rsid w:val="40055B41"/>
    <w:rsid w:val="40181D19"/>
    <w:rsid w:val="401D10DD"/>
    <w:rsid w:val="4030540C"/>
    <w:rsid w:val="40307062"/>
    <w:rsid w:val="40354679"/>
    <w:rsid w:val="403603F0"/>
    <w:rsid w:val="403F56E7"/>
    <w:rsid w:val="40410D0F"/>
    <w:rsid w:val="4044666A"/>
    <w:rsid w:val="40457034"/>
    <w:rsid w:val="404D19C2"/>
    <w:rsid w:val="40672731"/>
    <w:rsid w:val="406F32C6"/>
    <w:rsid w:val="4070746C"/>
    <w:rsid w:val="409D1C34"/>
    <w:rsid w:val="40A16EE5"/>
    <w:rsid w:val="40A774D7"/>
    <w:rsid w:val="40A92E43"/>
    <w:rsid w:val="40AD249C"/>
    <w:rsid w:val="40B74738"/>
    <w:rsid w:val="40B87AAA"/>
    <w:rsid w:val="40B90226"/>
    <w:rsid w:val="40C526CE"/>
    <w:rsid w:val="40D53EF1"/>
    <w:rsid w:val="40F76FA8"/>
    <w:rsid w:val="40F803E8"/>
    <w:rsid w:val="40FA52EB"/>
    <w:rsid w:val="40FD2557"/>
    <w:rsid w:val="410D6BAA"/>
    <w:rsid w:val="41216FF5"/>
    <w:rsid w:val="412511BE"/>
    <w:rsid w:val="413D5662"/>
    <w:rsid w:val="413E01ED"/>
    <w:rsid w:val="41412A84"/>
    <w:rsid w:val="414A0622"/>
    <w:rsid w:val="414C3836"/>
    <w:rsid w:val="41502FED"/>
    <w:rsid w:val="41553829"/>
    <w:rsid w:val="415C2BEC"/>
    <w:rsid w:val="415F09F3"/>
    <w:rsid w:val="416D1C08"/>
    <w:rsid w:val="41705832"/>
    <w:rsid w:val="41831A0A"/>
    <w:rsid w:val="41834835"/>
    <w:rsid w:val="418B6BE2"/>
    <w:rsid w:val="418D3461"/>
    <w:rsid w:val="41980A6C"/>
    <w:rsid w:val="419B675D"/>
    <w:rsid w:val="41A144B5"/>
    <w:rsid w:val="41A3330C"/>
    <w:rsid w:val="41B12F2F"/>
    <w:rsid w:val="41B25855"/>
    <w:rsid w:val="41B84257"/>
    <w:rsid w:val="41BC33D2"/>
    <w:rsid w:val="41C5246F"/>
    <w:rsid w:val="41C6708E"/>
    <w:rsid w:val="41D07CE3"/>
    <w:rsid w:val="41D31106"/>
    <w:rsid w:val="41DD0139"/>
    <w:rsid w:val="41E13EFD"/>
    <w:rsid w:val="41F221F3"/>
    <w:rsid w:val="41F560D9"/>
    <w:rsid w:val="41FD1FAF"/>
    <w:rsid w:val="41FD5BFD"/>
    <w:rsid w:val="420207DB"/>
    <w:rsid w:val="42060440"/>
    <w:rsid w:val="422F3F24"/>
    <w:rsid w:val="42311B76"/>
    <w:rsid w:val="42336996"/>
    <w:rsid w:val="423A4374"/>
    <w:rsid w:val="425130FF"/>
    <w:rsid w:val="4253773D"/>
    <w:rsid w:val="42547DAF"/>
    <w:rsid w:val="42561E86"/>
    <w:rsid w:val="426733C3"/>
    <w:rsid w:val="426D4F04"/>
    <w:rsid w:val="426E7C24"/>
    <w:rsid w:val="42761170"/>
    <w:rsid w:val="427D6132"/>
    <w:rsid w:val="427F6EF1"/>
    <w:rsid w:val="42823484"/>
    <w:rsid w:val="42870727"/>
    <w:rsid w:val="428C0EAD"/>
    <w:rsid w:val="428D1035"/>
    <w:rsid w:val="428F47A5"/>
    <w:rsid w:val="429352E2"/>
    <w:rsid w:val="429E164D"/>
    <w:rsid w:val="42A715FF"/>
    <w:rsid w:val="42AF1B86"/>
    <w:rsid w:val="42B155C9"/>
    <w:rsid w:val="42B7532C"/>
    <w:rsid w:val="42D53B65"/>
    <w:rsid w:val="42DD01D0"/>
    <w:rsid w:val="42E0048A"/>
    <w:rsid w:val="42E7296E"/>
    <w:rsid w:val="42F77A7F"/>
    <w:rsid w:val="43015CB7"/>
    <w:rsid w:val="43036368"/>
    <w:rsid w:val="43106417"/>
    <w:rsid w:val="43190F92"/>
    <w:rsid w:val="431A5DFB"/>
    <w:rsid w:val="431F2112"/>
    <w:rsid w:val="43212C92"/>
    <w:rsid w:val="43347151"/>
    <w:rsid w:val="433A3D54"/>
    <w:rsid w:val="433A4701"/>
    <w:rsid w:val="433F0346"/>
    <w:rsid w:val="4342234A"/>
    <w:rsid w:val="43450420"/>
    <w:rsid w:val="434B6DAD"/>
    <w:rsid w:val="434E3408"/>
    <w:rsid w:val="435141A2"/>
    <w:rsid w:val="435304A1"/>
    <w:rsid w:val="43561A42"/>
    <w:rsid w:val="43571C4A"/>
    <w:rsid w:val="435D5C0C"/>
    <w:rsid w:val="436F6BB3"/>
    <w:rsid w:val="43736A00"/>
    <w:rsid w:val="4384025F"/>
    <w:rsid w:val="43865F28"/>
    <w:rsid w:val="438751EB"/>
    <w:rsid w:val="43AF029E"/>
    <w:rsid w:val="43B62E26"/>
    <w:rsid w:val="43B8701C"/>
    <w:rsid w:val="43C138F4"/>
    <w:rsid w:val="43C57AC2"/>
    <w:rsid w:val="43C677A7"/>
    <w:rsid w:val="43C9534D"/>
    <w:rsid w:val="43CA012F"/>
    <w:rsid w:val="43CB3E37"/>
    <w:rsid w:val="43CD413A"/>
    <w:rsid w:val="43D012DB"/>
    <w:rsid w:val="43D110E1"/>
    <w:rsid w:val="43D471F1"/>
    <w:rsid w:val="43D86EAF"/>
    <w:rsid w:val="43DC34E1"/>
    <w:rsid w:val="43E94D52"/>
    <w:rsid w:val="43F0266D"/>
    <w:rsid w:val="43F14A99"/>
    <w:rsid w:val="43F347A6"/>
    <w:rsid w:val="43F6218E"/>
    <w:rsid w:val="43FB7A25"/>
    <w:rsid w:val="440062B8"/>
    <w:rsid w:val="44084F35"/>
    <w:rsid w:val="440D509E"/>
    <w:rsid w:val="44140DC8"/>
    <w:rsid w:val="441572A8"/>
    <w:rsid w:val="44171B9B"/>
    <w:rsid w:val="441B022B"/>
    <w:rsid w:val="441E71D2"/>
    <w:rsid w:val="4427023F"/>
    <w:rsid w:val="443239D6"/>
    <w:rsid w:val="443A225E"/>
    <w:rsid w:val="44475AD0"/>
    <w:rsid w:val="445175A7"/>
    <w:rsid w:val="44551120"/>
    <w:rsid w:val="44567A08"/>
    <w:rsid w:val="44570A54"/>
    <w:rsid w:val="4459392A"/>
    <w:rsid w:val="446B1DB5"/>
    <w:rsid w:val="44733491"/>
    <w:rsid w:val="44867251"/>
    <w:rsid w:val="448A4EED"/>
    <w:rsid w:val="448C1007"/>
    <w:rsid w:val="448D43DB"/>
    <w:rsid w:val="448D752E"/>
    <w:rsid w:val="448E7C71"/>
    <w:rsid w:val="448F3867"/>
    <w:rsid w:val="449045B1"/>
    <w:rsid w:val="449D5739"/>
    <w:rsid w:val="44B55D88"/>
    <w:rsid w:val="44C021A3"/>
    <w:rsid w:val="44CA4DD8"/>
    <w:rsid w:val="44CE5CD1"/>
    <w:rsid w:val="44DE29CD"/>
    <w:rsid w:val="44DF02EE"/>
    <w:rsid w:val="44E544CB"/>
    <w:rsid w:val="44F340DA"/>
    <w:rsid w:val="45411765"/>
    <w:rsid w:val="45425A76"/>
    <w:rsid w:val="45491C37"/>
    <w:rsid w:val="455071F2"/>
    <w:rsid w:val="455704A9"/>
    <w:rsid w:val="45592BC1"/>
    <w:rsid w:val="456D30D1"/>
    <w:rsid w:val="45786C8C"/>
    <w:rsid w:val="457A5F6B"/>
    <w:rsid w:val="457A68E2"/>
    <w:rsid w:val="457D7781"/>
    <w:rsid w:val="45805B9D"/>
    <w:rsid w:val="458E2F8D"/>
    <w:rsid w:val="458E3310"/>
    <w:rsid w:val="4596728C"/>
    <w:rsid w:val="45A61C97"/>
    <w:rsid w:val="45BD7C07"/>
    <w:rsid w:val="45DB40BE"/>
    <w:rsid w:val="45E52F0B"/>
    <w:rsid w:val="45E5741A"/>
    <w:rsid w:val="45EA380F"/>
    <w:rsid w:val="45F162E0"/>
    <w:rsid w:val="45F214B1"/>
    <w:rsid w:val="45F92429"/>
    <w:rsid w:val="45FB45F6"/>
    <w:rsid w:val="45FC4A95"/>
    <w:rsid w:val="45FD713F"/>
    <w:rsid w:val="46153E4C"/>
    <w:rsid w:val="461819F7"/>
    <w:rsid w:val="46210E6C"/>
    <w:rsid w:val="462A728F"/>
    <w:rsid w:val="46395D6F"/>
    <w:rsid w:val="463A12D0"/>
    <w:rsid w:val="464F2A4E"/>
    <w:rsid w:val="465B3858"/>
    <w:rsid w:val="46706CEB"/>
    <w:rsid w:val="46724381"/>
    <w:rsid w:val="46737941"/>
    <w:rsid w:val="467C65DD"/>
    <w:rsid w:val="46944B9F"/>
    <w:rsid w:val="46A761C8"/>
    <w:rsid w:val="46AE2A8F"/>
    <w:rsid w:val="46B868DE"/>
    <w:rsid w:val="46D64942"/>
    <w:rsid w:val="46D87B0C"/>
    <w:rsid w:val="46E3235D"/>
    <w:rsid w:val="46E42955"/>
    <w:rsid w:val="46E877F8"/>
    <w:rsid w:val="46EB1545"/>
    <w:rsid w:val="46EC261C"/>
    <w:rsid w:val="47032EC7"/>
    <w:rsid w:val="47040901"/>
    <w:rsid w:val="470B134B"/>
    <w:rsid w:val="4720656D"/>
    <w:rsid w:val="47207059"/>
    <w:rsid w:val="47214CB0"/>
    <w:rsid w:val="47237307"/>
    <w:rsid w:val="47312ACD"/>
    <w:rsid w:val="473F0646"/>
    <w:rsid w:val="4740402F"/>
    <w:rsid w:val="4746716B"/>
    <w:rsid w:val="47474B1C"/>
    <w:rsid w:val="475574AD"/>
    <w:rsid w:val="47570856"/>
    <w:rsid w:val="47585151"/>
    <w:rsid w:val="475C073D"/>
    <w:rsid w:val="4775752C"/>
    <w:rsid w:val="477B5272"/>
    <w:rsid w:val="477F13E1"/>
    <w:rsid w:val="4783427C"/>
    <w:rsid w:val="47892189"/>
    <w:rsid w:val="478A0040"/>
    <w:rsid w:val="478A0785"/>
    <w:rsid w:val="47941031"/>
    <w:rsid w:val="479700FF"/>
    <w:rsid w:val="479C4FDD"/>
    <w:rsid w:val="47A71989"/>
    <w:rsid w:val="47A84C95"/>
    <w:rsid w:val="47C22C96"/>
    <w:rsid w:val="47CB1C88"/>
    <w:rsid w:val="47EC150C"/>
    <w:rsid w:val="47F30703"/>
    <w:rsid w:val="47F4035E"/>
    <w:rsid w:val="47F4560A"/>
    <w:rsid w:val="47FF1051"/>
    <w:rsid w:val="480171F5"/>
    <w:rsid w:val="480706A9"/>
    <w:rsid w:val="480E13A0"/>
    <w:rsid w:val="482A0F65"/>
    <w:rsid w:val="4837077E"/>
    <w:rsid w:val="484C0865"/>
    <w:rsid w:val="484D1BCD"/>
    <w:rsid w:val="48503F01"/>
    <w:rsid w:val="48517B76"/>
    <w:rsid w:val="485812D4"/>
    <w:rsid w:val="48592ECE"/>
    <w:rsid w:val="486636B4"/>
    <w:rsid w:val="48692788"/>
    <w:rsid w:val="486A59AC"/>
    <w:rsid w:val="486C4F95"/>
    <w:rsid w:val="486C78B4"/>
    <w:rsid w:val="4875543B"/>
    <w:rsid w:val="48762A06"/>
    <w:rsid w:val="488B1C16"/>
    <w:rsid w:val="488F12A8"/>
    <w:rsid w:val="489627E2"/>
    <w:rsid w:val="489A2C9E"/>
    <w:rsid w:val="48A00D7C"/>
    <w:rsid w:val="48A60C4B"/>
    <w:rsid w:val="48A86CAD"/>
    <w:rsid w:val="48A94A29"/>
    <w:rsid w:val="48AE1E77"/>
    <w:rsid w:val="48DC4EE8"/>
    <w:rsid w:val="48E85964"/>
    <w:rsid w:val="48EF1015"/>
    <w:rsid w:val="48F350D1"/>
    <w:rsid w:val="48F42F8F"/>
    <w:rsid w:val="48FA7DB5"/>
    <w:rsid w:val="49014EFB"/>
    <w:rsid w:val="49017EBF"/>
    <w:rsid w:val="49074BEE"/>
    <w:rsid w:val="490B4E1C"/>
    <w:rsid w:val="49145087"/>
    <w:rsid w:val="491D5CAA"/>
    <w:rsid w:val="49201A4E"/>
    <w:rsid w:val="49233C02"/>
    <w:rsid w:val="49236FA6"/>
    <w:rsid w:val="492B6CBD"/>
    <w:rsid w:val="492E226D"/>
    <w:rsid w:val="492F19EC"/>
    <w:rsid w:val="4930243C"/>
    <w:rsid w:val="4932231E"/>
    <w:rsid w:val="493A7381"/>
    <w:rsid w:val="494C7070"/>
    <w:rsid w:val="495024F9"/>
    <w:rsid w:val="49584F34"/>
    <w:rsid w:val="49635647"/>
    <w:rsid w:val="49695393"/>
    <w:rsid w:val="496C03E8"/>
    <w:rsid w:val="496C1C2B"/>
    <w:rsid w:val="496E4822"/>
    <w:rsid w:val="497A3D64"/>
    <w:rsid w:val="497A3FDE"/>
    <w:rsid w:val="497A40B6"/>
    <w:rsid w:val="497D3C43"/>
    <w:rsid w:val="498875C7"/>
    <w:rsid w:val="498B780B"/>
    <w:rsid w:val="49A14B2D"/>
    <w:rsid w:val="49A63C1D"/>
    <w:rsid w:val="49B254F5"/>
    <w:rsid w:val="49BF6A62"/>
    <w:rsid w:val="49BF6D61"/>
    <w:rsid w:val="49D163A6"/>
    <w:rsid w:val="49D767A1"/>
    <w:rsid w:val="49E05427"/>
    <w:rsid w:val="49E97149"/>
    <w:rsid w:val="49EE40B2"/>
    <w:rsid w:val="49F501CC"/>
    <w:rsid w:val="49F73FDB"/>
    <w:rsid w:val="4A03383C"/>
    <w:rsid w:val="4A0C4E1A"/>
    <w:rsid w:val="4A1452FF"/>
    <w:rsid w:val="4A280DAA"/>
    <w:rsid w:val="4A290257"/>
    <w:rsid w:val="4A2A388D"/>
    <w:rsid w:val="4A3F1402"/>
    <w:rsid w:val="4A6855C7"/>
    <w:rsid w:val="4A6C0C97"/>
    <w:rsid w:val="4A6C4418"/>
    <w:rsid w:val="4A7D10F6"/>
    <w:rsid w:val="4A8213D8"/>
    <w:rsid w:val="4A892945"/>
    <w:rsid w:val="4A90145A"/>
    <w:rsid w:val="4A98535D"/>
    <w:rsid w:val="4AA00296"/>
    <w:rsid w:val="4AAA483E"/>
    <w:rsid w:val="4ABB39CC"/>
    <w:rsid w:val="4ABD6553"/>
    <w:rsid w:val="4AC00E34"/>
    <w:rsid w:val="4AC107D6"/>
    <w:rsid w:val="4AC15674"/>
    <w:rsid w:val="4AC24D5B"/>
    <w:rsid w:val="4AC46D25"/>
    <w:rsid w:val="4ACA4F61"/>
    <w:rsid w:val="4AD3181B"/>
    <w:rsid w:val="4AD51F45"/>
    <w:rsid w:val="4ADB0881"/>
    <w:rsid w:val="4AEB20BC"/>
    <w:rsid w:val="4AF3760A"/>
    <w:rsid w:val="4AF56EDE"/>
    <w:rsid w:val="4B0435C5"/>
    <w:rsid w:val="4B092D1F"/>
    <w:rsid w:val="4B2453A8"/>
    <w:rsid w:val="4B2C67D5"/>
    <w:rsid w:val="4B300630"/>
    <w:rsid w:val="4B30794B"/>
    <w:rsid w:val="4B307F16"/>
    <w:rsid w:val="4B321807"/>
    <w:rsid w:val="4B3218AD"/>
    <w:rsid w:val="4B3C2D5F"/>
    <w:rsid w:val="4B411787"/>
    <w:rsid w:val="4B5D32F8"/>
    <w:rsid w:val="4B5F07FC"/>
    <w:rsid w:val="4B6A26C0"/>
    <w:rsid w:val="4B76394A"/>
    <w:rsid w:val="4B7C1210"/>
    <w:rsid w:val="4B8B036C"/>
    <w:rsid w:val="4B915929"/>
    <w:rsid w:val="4B9425A7"/>
    <w:rsid w:val="4B977EEF"/>
    <w:rsid w:val="4B9B2795"/>
    <w:rsid w:val="4B9B4365"/>
    <w:rsid w:val="4B9C57F5"/>
    <w:rsid w:val="4BA93B94"/>
    <w:rsid w:val="4BAA0689"/>
    <w:rsid w:val="4BC845F3"/>
    <w:rsid w:val="4BDC5859"/>
    <w:rsid w:val="4BE01C54"/>
    <w:rsid w:val="4BE84EFB"/>
    <w:rsid w:val="4BED22AB"/>
    <w:rsid w:val="4BF27CBB"/>
    <w:rsid w:val="4BF4409C"/>
    <w:rsid w:val="4BF837B8"/>
    <w:rsid w:val="4BF90D4D"/>
    <w:rsid w:val="4BFB4C42"/>
    <w:rsid w:val="4C0513A3"/>
    <w:rsid w:val="4C080E93"/>
    <w:rsid w:val="4C0A1CA2"/>
    <w:rsid w:val="4C0B5BD2"/>
    <w:rsid w:val="4C137A41"/>
    <w:rsid w:val="4C153217"/>
    <w:rsid w:val="4C1A2EC5"/>
    <w:rsid w:val="4C1A4723"/>
    <w:rsid w:val="4C1B6C8A"/>
    <w:rsid w:val="4C274A5E"/>
    <w:rsid w:val="4C340DAD"/>
    <w:rsid w:val="4C357B3F"/>
    <w:rsid w:val="4C520C30"/>
    <w:rsid w:val="4C675BBA"/>
    <w:rsid w:val="4C6B475C"/>
    <w:rsid w:val="4C6B5F9F"/>
    <w:rsid w:val="4C7B39D2"/>
    <w:rsid w:val="4C843628"/>
    <w:rsid w:val="4C891FD4"/>
    <w:rsid w:val="4C940979"/>
    <w:rsid w:val="4C9B1033"/>
    <w:rsid w:val="4C9D0CF4"/>
    <w:rsid w:val="4C9E7102"/>
    <w:rsid w:val="4CB535E7"/>
    <w:rsid w:val="4CC2658F"/>
    <w:rsid w:val="4CC43E58"/>
    <w:rsid w:val="4CC5243E"/>
    <w:rsid w:val="4CCE2137"/>
    <w:rsid w:val="4CD8077E"/>
    <w:rsid w:val="4CE46E61"/>
    <w:rsid w:val="4CEA2347"/>
    <w:rsid w:val="4CF64CFD"/>
    <w:rsid w:val="4CFD612C"/>
    <w:rsid w:val="4D05626E"/>
    <w:rsid w:val="4D0B4723"/>
    <w:rsid w:val="4D0E78D2"/>
    <w:rsid w:val="4D132B73"/>
    <w:rsid w:val="4D1E35BD"/>
    <w:rsid w:val="4D223E21"/>
    <w:rsid w:val="4D233583"/>
    <w:rsid w:val="4D330192"/>
    <w:rsid w:val="4D386DDA"/>
    <w:rsid w:val="4D3B3C01"/>
    <w:rsid w:val="4D402587"/>
    <w:rsid w:val="4D421674"/>
    <w:rsid w:val="4D5B3F17"/>
    <w:rsid w:val="4D5F2334"/>
    <w:rsid w:val="4D6E7E1A"/>
    <w:rsid w:val="4D7147DA"/>
    <w:rsid w:val="4D76426D"/>
    <w:rsid w:val="4D772884"/>
    <w:rsid w:val="4D773B03"/>
    <w:rsid w:val="4D7943E5"/>
    <w:rsid w:val="4D7B7211"/>
    <w:rsid w:val="4D91009B"/>
    <w:rsid w:val="4D9121DC"/>
    <w:rsid w:val="4DA4543A"/>
    <w:rsid w:val="4DA527BF"/>
    <w:rsid w:val="4DA803D2"/>
    <w:rsid w:val="4DA86723"/>
    <w:rsid w:val="4DAA281B"/>
    <w:rsid w:val="4DAB5F7A"/>
    <w:rsid w:val="4DAD1A70"/>
    <w:rsid w:val="4DB210B7"/>
    <w:rsid w:val="4DB44C4F"/>
    <w:rsid w:val="4DB95BF4"/>
    <w:rsid w:val="4DBE2239"/>
    <w:rsid w:val="4DCE75EF"/>
    <w:rsid w:val="4DCF0897"/>
    <w:rsid w:val="4DD36AA2"/>
    <w:rsid w:val="4DDE62FD"/>
    <w:rsid w:val="4DE602FE"/>
    <w:rsid w:val="4DE75E0E"/>
    <w:rsid w:val="4DEB281B"/>
    <w:rsid w:val="4DEE0302"/>
    <w:rsid w:val="4DF25957"/>
    <w:rsid w:val="4DF3347D"/>
    <w:rsid w:val="4DF47921"/>
    <w:rsid w:val="4E031985"/>
    <w:rsid w:val="4E1A222E"/>
    <w:rsid w:val="4E2823D4"/>
    <w:rsid w:val="4E39609E"/>
    <w:rsid w:val="4E4278CA"/>
    <w:rsid w:val="4E4540BC"/>
    <w:rsid w:val="4E4D1792"/>
    <w:rsid w:val="4E52289A"/>
    <w:rsid w:val="4E5D0465"/>
    <w:rsid w:val="4E69246C"/>
    <w:rsid w:val="4E744CF2"/>
    <w:rsid w:val="4E783CA3"/>
    <w:rsid w:val="4E7E0302"/>
    <w:rsid w:val="4E7E368F"/>
    <w:rsid w:val="4E7F05A4"/>
    <w:rsid w:val="4E80426E"/>
    <w:rsid w:val="4E912DB1"/>
    <w:rsid w:val="4E915170"/>
    <w:rsid w:val="4E9630E9"/>
    <w:rsid w:val="4E963D41"/>
    <w:rsid w:val="4EA56E6D"/>
    <w:rsid w:val="4EA8269B"/>
    <w:rsid w:val="4EB046C9"/>
    <w:rsid w:val="4EC0371F"/>
    <w:rsid w:val="4EC077CE"/>
    <w:rsid w:val="4ED41501"/>
    <w:rsid w:val="4ED57A44"/>
    <w:rsid w:val="4F02606E"/>
    <w:rsid w:val="4F0E0ACA"/>
    <w:rsid w:val="4F0E61D4"/>
    <w:rsid w:val="4F187C9A"/>
    <w:rsid w:val="4F1A23F8"/>
    <w:rsid w:val="4F1C5B65"/>
    <w:rsid w:val="4F224112"/>
    <w:rsid w:val="4F284846"/>
    <w:rsid w:val="4F293ABD"/>
    <w:rsid w:val="4F4154B6"/>
    <w:rsid w:val="4F445960"/>
    <w:rsid w:val="4F4758A4"/>
    <w:rsid w:val="4F48056A"/>
    <w:rsid w:val="4F566B0C"/>
    <w:rsid w:val="4F785D36"/>
    <w:rsid w:val="4F894099"/>
    <w:rsid w:val="4F8D52B2"/>
    <w:rsid w:val="4F8D62E0"/>
    <w:rsid w:val="4F8F7E08"/>
    <w:rsid w:val="4F990592"/>
    <w:rsid w:val="4F9D5D96"/>
    <w:rsid w:val="4FA40ED3"/>
    <w:rsid w:val="4FAE1DCE"/>
    <w:rsid w:val="4FB20B32"/>
    <w:rsid w:val="4FBB777D"/>
    <w:rsid w:val="4FC82910"/>
    <w:rsid w:val="4FD07F1A"/>
    <w:rsid w:val="4FD276AB"/>
    <w:rsid w:val="4FD97ADC"/>
    <w:rsid w:val="4FE14863"/>
    <w:rsid w:val="4FE237A9"/>
    <w:rsid w:val="4FF028F3"/>
    <w:rsid w:val="4FF534DD"/>
    <w:rsid w:val="4FF621E5"/>
    <w:rsid w:val="4FF8158B"/>
    <w:rsid w:val="4FFB1CCF"/>
    <w:rsid w:val="4FFC486B"/>
    <w:rsid w:val="50080C8C"/>
    <w:rsid w:val="500951DA"/>
    <w:rsid w:val="500F33E8"/>
    <w:rsid w:val="50104469"/>
    <w:rsid w:val="50114244"/>
    <w:rsid w:val="50201F20"/>
    <w:rsid w:val="5022399A"/>
    <w:rsid w:val="502D705A"/>
    <w:rsid w:val="502F5371"/>
    <w:rsid w:val="503317D7"/>
    <w:rsid w:val="50340D81"/>
    <w:rsid w:val="503C46C2"/>
    <w:rsid w:val="50493828"/>
    <w:rsid w:val="504E6C0A"/>
    <w:rsid w:val="505521CD"/>
    <w:rsid w:val="505A5382"/>
    <w:rsid w:val="506B422D"/>
    <w:rsid w:val="508007EC"/>
    <w:rsid w:val="50800F93"/>
    <w:rsid w:val="50874E72"/>
    <w:rsid w:val="508E4336"/>
    <w:rsid w:val="50926B99"/>
    <w:rsid w:val="50940F47"/>
    <w:rsid w:val="50992BC5"/>
    <w:rsid w:val="509A0D7A"/>
    <w:rsid w:val="50A80881"/>
    <w:rsid w:val="50AD3DB7"/>
    <w:rsid w:val="50C131F9"/>
    <w:rsid w:val="50C23D07"/>
    <w:rsid w:val="50CE3319"/>
    <w:rsid w:val="50D13030"/>
    <w:rsid w:val="50D70CC6"/>
    <w:rsid w:val="50D90792"/>
    <w:rsid w:val="50EE1CF2"/>
    <w:rsid w:val="50F65BDA"/>
    <w:rsid w:val="50F67B3E"/>
    <w:rsid w:val="50FA6974"/>
    <w:rsid w:val="51022355"/>
    <w:rsid w:val="51062C1B"/>
    <w:rsid w:val="51080F41"/>
    <w:rsid w:val="511856D5"/>
    <w:rsid w:val="511E6E18"/>
    <w:rsid w:val="511F6336"/>
    <w:rsid w:val="51382D2D"/>
    <w:rsid w:val="514457B4"/>
    <w:rsid w:val="514906BF"/>
    <w:rsid w:val="51511B8E"/>
    <w:rsid w:val="515561D0"/>
    <w:rsid w:val="515E03FF"/>
    <w:rsid w:val="516E4DEE"/>
    <w:rsid w:val="5177331F"/>
    <w:rsid w:val="51932FAD"/>
    <w:rsid w:val="51A04E60"/>
    <w:rsid w:val="51AB479B"/>
    <w:rsid w:val="51B15582"/>
    <w:rsid w:val="51C159B6"/>
    <w:rsid w:val="51C539C7"/>
    <w:rsid w:val="51CD70D5"/>
    <w:rsid w:val="51D236DC"/>
    <w:rsid w:val="51D87A30"/>
    <w:rsid w:val="51D9682C"/>
    <w:rsid w:val="51E83FA9"/>
    <w:rsid w:val="51F25A25"/>
    <w:rsid w:val="51F37665"/>
    <w:rsid w:val="51FB3AE7"/>
    <w:rsid w:val="520143BB"/>
    <w:rsid w:val="520A7986"/>
    <w:rsid w:val="520D4018"/>
    <w:rsid w:val="520E3291"/>
    <w:rsid w:val="5218167A"/>
    <w:rsid w:val="52255BAA"/>
    <w:rsid w:val="52274169"/>
    <w:rsid w:val="5229185E"/>
    <w:rsid w:val="522C4AA3"/>
    <w:rsid w:val="522E5EFF"/>
    <w:rsid w:val="522F2867"/>
    <w:rsid w:val="523E1287"/>
    <w:rsid w:val="52426781"/>
    <w:rsid w:val="524B79F6"/>
    <w:rsid w:val="5264618F"/>
    <w:rsid w:val="52693F39"/>
    <w:rsid w:val="5269686F"/>
    <w:rsid w:val="52716526"/>
    <w:rsid w:val="52A17405"/>
    <w:rsid w:val="52AC01E5"/>
    <w:rsid w:val="52B47ECB"/>
    <w:rsid w:val="52BB5860"/>
    <w:rsid w:val="52C55119"/>
    <w:rsid w:val="52C974E4"/>
    <w:rsid w:val="52D10C71"/>
    <w:rsid w:val="52D95088"/>
    <w:rsid w:val="52E03801"/>
    <w:rsid w:val="52E33AC0"/>
    <w:rsid w:val="52E441E0"/>
    <w:rsid w:val="52E4599D"/>
    <w:rsid w:val="52E45BC8"/>
    <w:rsid w:val="52E74FD0"/>
    <w:rsid w:val="52E85BDC"/>
    <w:rsid w:val="52EA0C77"/>
    <w:rsid w:val="52F82F13"/>
    <w:rsid w:val="53050450"/>
    <w:rsid w:val="5305243E"/>
    <w:rsid w:val="5307688F"/>
    <w:rsid w:val="530C74BB"/>
    <w:rsid w:val="530F6E88"/>
    <w:rsid w:val="53146370"/>
    <w:rsid w:val="531A7472"/>
    <w:rsid w:val="53234805"/>
    <w:rsid w:val="53343B72"/>
    <w:rsid w:val="533735E9"/>
    <w:rsid w:val="53440794"/>
    <w:rsid w:val="534A2866"/>
    <w:rsid w:val="534B2675"/>
    <w:rsid w:val="535B37A2"/>
    <w:rsid w:val="535B5D4C"/>
    <w:rsid w:val="536214AD"/>
    <w:rsid w:val="53677963"/>
    <w:rsid w:val="53723C53"/>
    <w:rsid w:val="53725DA4"/>
    <w:rsid w:val="539450C8"/>
    <w:rsid w:val="539D4C98"/>
    <w:rsid w:val="53A56FC8"/>
    <w:rsid w:val="53AA50E8"/>
    <w:rsid w:val="53AF1C48"/>
    <w:rsid w:val="53B12890"/>
    <w:rsid w:val="53B536AF"/>
    <w:rsid w:val="53B65F21"/>
    <w:rsid w:val="53BD3B67"/>
    <w:rsid w:val="53BE73AB"/>
    <w:rsid w:val="53C37E9A"/>
    <w:rsid w:val="53C5766A"/>
    <w:rsid w:val="53C82962"/>
    <w:rsid w:val="53D0056F"/>
    <w:rsid w:val="53D03BF1"/>
    <w:rsid w:val="53D51BA0"/>
    <w:rsid w:val="53D53D51"/>
    <w:rsid w:val="53D71927"/>
    <w:rsid w:val="53DD0C59"/>
    <w:rsid w:val="53E16C24"/>
    <w:rsid w:val="53E5225B"/>
    <w:rsid w:val="53E83831"/>
    <w:rsid w:val="5405504A"/>
    <w:rsid w:val="5408571F"/>
    <w:rsid w:val="541134E1"/>
    <w:rsid w:val="541A299D"/>
    <w:rsid w:val="541F3870"/>
    <w:rsid w:val="54266419"/>
    <w:rsid w:val="54280325"/>
    <w:rsid w:val="544201B1"/>
    <w:rsid w:val="54425C5F"/>
    <w:rsid w:val="544D1B39"/>
    <w:rsid w:val="544D7D8B"/>
    <w:rsid w:val="54533FFA"/>
    <w:rsid w:val="545342AD"/>
    <w:rsid w:val="545F7D39"/>
    <w:rsid w:val="546A5647"/>
    <w:rsid w:val="547A2977"/>
    <w:rsid w:val="548B440F"/>
    <w:rsid w:val="54A305B7"/>
    <w:rsid w:val="54A33756"/>
    <w:rsid w:val="54A62B03"/>
    <w:rsid w:val="54A7329C"/>
    <w:rsid w:val="54B41BB8"/>
    <w:rsid w:val="54B576DE"/>
    <w:rsid w:val="54BA57D1"/>
    <w:rsid w:val="54C227C1"/>
    <w:rsid w:val="54C73958"/>
    <w:rsid w:val="54CA48BD"/>
    <w:rsid w:val="54CC7BFA"/>
    <w:rsid w:val="54D106C9"/>
    <w:rsid w:val="54D1747B"/>
    <w:rsid w:val="54D35208"/>
    <w:rsid w:val="54DA69A5"/>
    <w:rsid w:val="54E0064D"/>
    <w:rsid w:val="54E67898"/>
    <w:rsid w:val="54EF743D"/>
    <w:rsid w:val="54F5421B"/>
    <w:rsid w:val="550266B4"/>
    <w:rsid w:val="55125FAB"/>
    <w:rsid w:val="55191406"/>
    <w:rsid w:val="551A0F57"/>
    <w:rsid w:val="55216B22"/>
    <w:rsid w:val="5522088F"/>
    <w:rsid w:val="5531145B"/>
    <w:rsid w:val="554078D4"/>
    <w:rsid w:val="55461CD0"/>
    <w:rsid w:val="554E6139"/>
    <w:rsid w:val="55516A80"/>
    <w:rsid w:val="55522B6A"/>
    <w:rsid w:val="555413F3"/>
    <w:rsid w:val="555D5DAC"/>
    <w:rsid w:val="556046CA"/>
    <w:rsid w:val="55636AF3"/>
    <w:rsid w:val="556F78B7"/>
    <w:rsid w:val="557D4386"/>
    <w:rsid w:val="55A24495"/>
    <w:rsid w:val="55A439DB"/>
    <w:rsid w:val="55B87486"/>
    <w:rsid w:val="55BF0C3A"/>
    <w:rsid w:val="55C0594C"/>
    <w:rsid w:val="55CD2146"/>
    <w:rsid w:val="55D1679A"/>
    <w:rsid w:val="55D936A9"/>
    <w:rsid w:val="55EB6F0B"/>
    <w:rsid w:val="55EF562C"/>
    <w:rsid w:val="55F74EAB"/>
    <w:rsid w:val="55FB2A84"/>
    <w:rsid w:val="55FB6D9D"/>
    <w:rsid w:val="56037691"/>
    <w:rsid w:val="56085BF4"/>
    <w:rsid w:val="560D058A"/>
    <w:rsid w:val="56102F9E"/>
    <w:rsid w:val="56177A73"/>
    <w:rsid w:val="561E329C"/>
    <w:rsid w:val="561E616E"/>
    <w:rsid w:val="56235919"/>
    <w:rsid w:val="56242D6E"/>
    <w:rsid w:val="56327C6C"/>
    <w:rsid w:val="56382375"/>
    <w:rsid w:val="56576105"/>
    <w:rsid w:val="565E3DEE"/>
    <w:rsid w:val="56654F60"/>
    <w:rsid w:val="56725F1E"/>
    <w:rsid w:val="567762A1"/>
    <w:rsid w:val="5678193F"/>
    <w:rsid w:val="56787ABD"/>
    <w:rsid w:val="567D7625"/>
    <w:rsid w:val="567E47DD"/>
    <w:rsid w:val="568A7741"/>
    <w:rsid w:val="56951575"/>
    <w:rsid w:val="5699121A"/>
    <w:rsid w:val="56AB69D0"/>
    <w:rsid w:val="56B46636"/>
    <w:rsid w:val="56B5234A"/>
    <w:rsid w:val="56B953D5"/>
    <w:rsid w:val="56C11CA4"/>
    <w:rsid w:val="56C13933"/>
    <w:rsid w:val="56C17C1A"/>
    <w:rsid w:val="56C75419"/>
    <w:rsid w:val="56C84A37"/>
    <w:rsid w:val="56D627B6"/>
    <w:rsid w:val="56DF6EA6"/>
    <w:rsid w:val="56F44EE3"/>
    <w:rsid w:val="56F708F7"/>
    <w:rsid w:val="570B7038"/>
    <w:rsid w:val="57144B90"/>
    <w:rsid w:val="57190A91"/>
    <w:rsid w:val="571A2B86"/>
    <w:rsid w:val="57214480"/>
    <w:rsid w:val="57366784"/>
    <w:rsid w:val="573A5440"/>
    <w:rsid w:val="573C5E95"/>
    <w:rsid w:val="574026FF"/>
    <w:rsid w:val="57425DF2"/>
    <w:rsid w:val="574D1ABF"/>
    <w:rsid w:val="574F7976"/>
    <w:rsid w:val="5758598D"/>
    <w:rsid w:val="577B076B"/>
    <w:rsid w:val="577B4C0F"/>
    <w:rsid w:val="577B7DD2"/>
    <w:rsid w:val="578329F2"/>
    <w:rsid w:val="57862942"/>
    <w:rsid w:val="5788287F"/>
    <w:rsid w:val="578A6B8F"/>
    <w:rsid w:val="578F0FA9"/>
    <w:rsid w:val="57951D30"/>
    <w:rsid w:val="5798756F"/>
    <w:rsid w:val="57AB2533"/>
    <w:rsid w:val="57B679F5"/>
    <w:rsid w:val="57B770B1"/>
    <w:rsid w:val="57BA7777"/>
    <w:rsid w:val="57C572A7"/>
    <w:rsid w:val="57D165DD"/>
    <w:rsid w:val="57DD4F82"/>
    <w:rsid w:val="57DE55B1"/>
    <w:rsid w:val="57EE5C6E"/>
    <w:rsid w:val="57F401E5"/>
    <w:rsid w:val="57F97435"/>
    <w:rsid w:val="57FB5A70"/>
    <w:rsid w:val="57FE49CA"/>
    <w:rsid w:val="58036C27"/>
    <w:rsid w:val="5806798B"/>
    <w:rsid w:val="5814296E"/>
    <w:rsid w:val="58240A61"/>
    <w:rsid w:val="582A6186"/>
    <w:rsid w:val="583F5C3D"/>
    <w:rsid w:val="584045FB"/>
    <w:rsid w:val="58605CAA"/>
    <w:rsid w:val="58692219"/>
    <w:rsid w:val="58711B6E"/>
    <w:rsid w:val="58727DC0"/>
    <w:rsid w:val="587753D7"/>
    <w:rsid w:val="58835AE3"/>
    <w:rsid w:val="58875921"/>
    <w:rsid w:val="588D77A9"/>
    <w:rsid w:val="589F700C"/>
    <w:rsid w:val="58A837E2"/>
    <w:rsid w:val="58AE2DC2"/>
    <w:rsid w:val="58DF4657"/>
    <w:rsid w:val="58E829A7"/>
    <w:rsid w:val="58EF1411"/>
    <w:rsid w:val="58F55C6B"/>
    <w:rsid w:val="58FF1978"/>
    <w:rsid w:val="590233EF"/>
    <w:rsid w:val="59036D69"/>
    <w:rsid w:val="59084281"/>
    <w:rsid w:val="590D5D3B"/>
    <w:rsid w:val="59127A0C"/>
    <w:rsid w:val="5918538D"/>
    <w:rsid w:val="591B25A9"/>
    <w:rsid w:val="591B677F"/>
    <w:rsid w:val="591F763D"/>
    <w:rsid w:val="59227C7C"/>
    <w:rsid w:val="592B774A"/>
    <w:rsid w:val="59306B99"/>
    <w:rsid w:val="59334A5D"/>
    <w:rsid w:val="59492CE0"/>
    <w:rsid w:val="59587220"/>
    <w:rsid w:val="5975743C"/>
    <w:rsid w:val="597A02CE"/>
    <w:rsid w:val="597F1642"/>
    <w:rsid w:val="59835FFD"/>
    <w:rsid w:val="598D4786"/>
    <w:rsid w:val="599035FD"/>
    <w:rsid w:val="59947F61"/>
    <w:rsid w:val="599506DE"/>
    <w:rsid w:val="599848B1"/>
    <w:rsid w:val="59984EDE"/>
    <w:rsid w:val="599E255C"/>
    <w:rsid w:val="59AA4EB0"/>
    <w:rsid w:val="59AB1EEB"/>
    <w:rsid w:val="59AB5CE2"/>
    <w:rsid w:val="59B02F92"/>
    <w:rsid w:val="59C960F9"/>
    <w:rsid w:val="59D011A9"/>
    <w:rsid w:val="59D145A3"/>
    <w:rsid w:val="59D4280E"/>
    <w:rsid w:val="59D5242F"/>
    <w:rsid w:val="59D77338"/>
    <w:rsid w:val="59DA3CE5"/>
    <w:rsid w:val="59EF5592"/>
    <w:rsid w:val="5A0A1F68"/>
    <w:rsid w:val="5A1412C3"/>
    <w:rsid w:val="5A15600B"/>
    <w:rsid w:val="5A161CF7"/>
    <w:rsid w:val="5A1A3741"/>
    <w:rsid w:val="5A236801"/>
    <w:rsid w:val="5A2E41BB"/>
    <w:rsid w:val="5A353375"/>
    <w:rsid w:val="5A4675B2"/>
    <w:rsid w:val="5A51159C"/>
    <w:rsid w:val="5A54081F"/>
    <w:rsid w:val="5A554D3D"/>
    <w:rsid w:val="5A5B07FF"/>
    <w:rsid w:val="5A6837C4"/>
    <w:rsid w:val="5A726E70"/>
    <w:rsid w:val="5A734ADC"/>
    <w:rsid w:val="5A7B4C6E"/>
    <w:rsid w:val="5A8054DD"/>
    <w:rsid w:val="5A8C0956"/>
    <w:rsid w:val="5A973EDA"/>
    <w:rsid w:val="5AA5354A"/>
    <w:rsid w:val="5AAD40CB"/>
    <w:rsid w:val="5AB30F8B"/>
    <w:rsid w:val="5ABB1274"/>
    <w:rsid w:val="5ABB5323"/>
    <w:rsid w:val="5ABC5019"/>
    <w:rsid w:val="5AD53F3D"/>
    <w:rsid w:val="5AD57E35"/>
    <w:rsid w:val="5ADE7EB3"/>
    <w:rsid w:val="5AEB01DF"/>
    <w:rsid w:val="5AFE1E47"/>
    <w:rsid w:val="5AFF0035"/>
    <w:rsid w:val="5B082187"/>
    <w:rsid w:val="5B082265"/>
    <w:rsid w:val="5B0E4C28"/>
    <w:rsid w:val="5B13614A"/>
    <w:rsid w:val="5B140679"/>
    <w:rsid w:val="5B182776"/>
    <w:rsid w:val="5B184EDE"/>
    <w:rsid w:val="5B290290"/>
    <w:rsid w:val="5B2D054E"/>
    <w:rsid w:val="5B317833"/>
    <w:rsid w:val="5B34098D"/>
    <w:rsid w:val="5B3E7729"/>
    <w:rsid w:val="5B447E6F"/>
    <w:rsid w:val="5B4F162F"/>
    <w:rsid w:val="5B5A5164"/>
    <w:rsid w:val="5B5B0FE0"/>
    <w:rsid w:val="5B66215D"/>
    <w:rsid w:val="5B6D0D13"/>
    <w:rsid w:val="5B765E19"/>
    <w:rsid w:val="5B773940"/>
    <w:rsid w:val="5B7F7F43"/>
    <w:rsid w:val="5B8402CF"/>
    <w:rsid w:val="5B980068"/>
    <w:rsid w:val="5B9D6810"/>
    <w:rsid w:val="5BA57FF6"/>
    <w:rsid w:val="5BAC0017"/>
    <w:rsid w:val="5BBA5CE8"/>
    <w:rsid w:val="5BC12289"/>
    <w:rsid w:val="5BC538E6"/>
    <w:rsid w:val="5BC60C5E"/>
    <w:rsid w:val="5BD03FD5"/>
    <w:rsid w:val="5BD65F7C"/>
    <w:rsid w:val="5BD7618C"/>
    <w:rsid w:val="5BD77BA8"/>
    <w:rsid w:val="5BE30FD5"/>
    <w:rsid w:val="5BE474A0"/>
    <w:rsid w:val="5BE56AFB"/>
    <w:rsid w:val="5BE87476"/>
    <w:rsid w:val="5BEA1135"/>
    <w:rsid w:val="5BED39E7"/>
    <w:rsid w:val="5BF10C69"/>
    <w:rsid w:val="5BFC56EB"/>
    <w:rsid w:val="5BFD1425"/>
    <w:rsid w:val="5BFE377E"/>
    <w:rsid w:val="5C0407F5"/>
    <w:rsid w:val="5C04228F"/>
    <w:rsid w:val="5C1178F0"/>
    <w:rsid w:val="5C1C5E87"/>
    <w:rsid w:val="5C1E0BC7"/>
    <w:rsid w:val="5C253D58"/>
    <w:rsid w:val="5C281D45"/>
    <w:rsid w:val="5C2F3D9C"/>
    <w:rsid w:val="5C312A21"/>
    <w:rsid w:val="5C342FB3"/>
    <w:rsid w:val="5C342FF0"/>
    <w:rsid w:val="5C37035E"/>
    <w:rsid w:val="5C3C493F"/>
    <w:rsid w:val="5C4839FD"/>
    <w:rsid w:val="5C4B6D85"/>
    <w:rsid w:val="5C4F00CF"/>
    <w:rsid w:val="5C50666A"/>
    <w:rsid w:val="5C7637E7"/>
    <w:rsid w:val="5C7B371F"/>
    <w:rsid w:val="5C837F16"/>
    <w:rsid w:val="5C9246E2"/>
    <w:rsid w:val="5C9270EE"/>
    <w:rsid w:val="5C934D5D"/>
    <w:rsid w:val="5C94258A"/>
    <w:rsid w:val="5C9567E4"/>
    <w:rsid w:val="5C970F71"/>
    <w:rsid w:val="5C9726E8"/>
    <w:rsid w:val="5C9E25A4"/>
    <w:rsid w:val="5CA9096C"/>
    <w:rsid w:val="5CAC5BC3"/>
    <w:rsid w:val="5CAE6F3C"/>
    <w:rsid w:val="5CB54054"/>
    <w:rsid w:val="5CB62246"/>
    <w:rsid w:val="5CB63038"/>
    <w:rsid w:val="5CBC5AAE"/>
    <w:rsid w:val="5CC6692D"/>
    <w:rsid w:val="5CC86AD1"/>
    <w:rsid w:val="5CD55C35"/>
    <w:rsid w:val="5CDC2A31"/>
    <w:rsid w:val="5CEB2884"/>
    <w:rsid w:val="5CF76AE6"/>
    <w:rsid w:val="5D0532FF"/>
    <w:rsid w:val="5D063D09"/>
    <w:rsid w:val="5D0A42BE"/>
    <w:rsid w:val="5D0F1302"/>
    <w:rsid w:val="5D105DFA"/>
    <w:rsid w:val="5D1220B3"/>
    <w:rsid w:val="5D216FDE"/>
    <w:rsid w:val="5D221689"/>
    <w:rsid w:val="5D237378"/>
    <w:rsid w:val="5D241338"/>
    <w:rsid w:val="5D2D6CAE"/>
    <w:rsid w:val="5D3533D1"/>
    <w:rsid w:val="5D374D6B"/>
    <w:rsid w:val="5D4E06D0"/>
    <w:rsid w:val="5D5234B8"/>
    <w:rsid w:val="5D5D64D4"/>
    <w:rsid w:val="5D5F6439"/>
    <w:rsid w:val="5D830B7C"/>
    <w:rsid w:val="5D8A3346"/>
    <w:rsid w:val="5D9407D9"/>
    <w:rsid w:val="5D973EDA"/>
    <w:rsid w:val="5D9C768D"/>
    <w:rsid w:val="5DA8469E"/>
    <w:rsid w:val="5DB669A1"/>
    <w:rsid w:val="5DC94597"/>
    <w:rsid w:val="5DE92085"/>
    <w:rsid w:val="5DEC4171"/>
    <w:rsid w:val="5DF00527"/>
    <w:rsid w:val="5DF81248"/>
    <w:rsid w:val="5DFE1FEB"/>
    <w:rsid w:val="5DFF19E2"/>
    <w:rsid w:val="5E033269"/>
    <w:rsid w:val="5E0E6784"/>
    <w:rsid w:val="5E162086"/>
    <w:rsid w:val="5E194F76"/>
    <w:rsid w:val="5E1B261B"/>
    <w:rsid w:val="5E1E45D7"/>
    <w:rsid w:val="5E3E0586"/>
    <w:rsid w:val="5E432E24"/>
    <w:rsid w:val="5E447AB7"/>
    <w:rsid w:val="5E462853"/>
    <w:rsid w:val="5E463E3C"/>
    <w:rsid w:val="5E4D54B2"/>
    <w:rsid w:val="5E503D77"/>
    <w:rsid w:val="5E554F1F"/>
    <w:rsid w:val="5E644C39"/>
    <w:rsid w:val="5E69018E"/>
    <w:rsid w:val="5E695F0B"/>
    <w:rsid w:val="5E7F1E4C"/>
    <w:rsid w:val="5E7F6544"/>
    <w:rsid w:val="5E946DB9"/>
    <w:rsid w:val="5E99558B"/>
    <w:rsid w:val="5E9D36BD"/>
    <w:rsid w:val="5EA042CC"/>
    <w:rsid w:val="5EA902B4"/>
    <w:rsid w:val="5EB17168"/>
    <w:rsid w:val="5EB61570"/>
    <w:rsid w:val="5EBB1D20"/>
    <w:rsid w:val="5EBD52FF"/>
    <w:rsid w:val="5EC0115A"/>
    <w:rsid w:val="5EC409E9"/>
    <w:rsid w:val="5EC76EBC"/>
    <w:rsid w:val="5ECA2749"/>
    <w:rsid w:val="5ED576E4"/>
    <w:rsid w:val="5ED75B32"/>
    <w:rsid w:val="5ED95A10"/>
    <w:rsid w:val="5EDE29EE"/>
    <w:rsid w:val="5EF26B05"/>
    <w:rsid w:val="5EFF1C82"/>
    <w:rsid w:val="5F035C9C"/>
    <w:rsid w:val="5F047298"/>
    <w:rsid w:val="5F06329E"/>
    <w:rsid w:val="5F1347ED"/>
    <w:rsid w:val="5F186D01"/>
    <w:rsid w:val="5F21609C"/>
    <w:rsid w:val="5F2A342F"/>
    <w:rsid w:val="5F304450"/>
    <w:rsid w:val="5F4B1549"/>
    <w:rsid w:val="5F511076"/>
    <w:rsid w:val="5F56499A"/>
    <w:rsid w:val="5F5B5CDA"/>
    <w:rsid w:val="5F5E3BC5"/>
    <w:rsid w:val="5F6655AA"/>
    <w:rsid w:val="5F8328B3"/>
    <w:rsid w:val="5F83792C"/>
    <w:rsid w:val="5FB31D7E"/>
    <w:rsid w:val="5FB85F1F"/>
    <w:rsid w:val="5FB97F8C"/>
    <w:rsid w:val="5FBF3754"/>
    <w:rsid w:val="5FC609F2"/>
    <w:rsid w:val="5FCB50C0"/>
    <w:rsid w:val="5FD0313C"/>
    <w:rsid w:val="5FD22652"/>
    <w:rsid w:val="5FDA5F13"/>
    <w:rsid w:val="5FDD5372"/>
    <w:rsid w:val="5FF6631B"/>
    <w:rsid w:val="5FF92B75"/>
    <w:rsid w:val="5FFD56F2"/>
    <w:rsid w:val="5FFE785B"/>
    <w:rsid w:val="60054832"/>
    <w:rsid w:val="60064116"/>
    <w:rsid w:val="6013539A"/>
    <w:rsid w:val="60141718"/>
    <w:rsid w:val="60141BC6"/>
    <w:rsid w:val="60157FFC"/>
    <w:rsid w:val="601B2AEB"/>
    <w:rsid w:val="601C4424"/>
    <w:rsid w:val="601D4FBD"/>
    <w:rsid w:val="601E082E"/>
    <w:rsid w:val="60266FF4"/>
    <w:rsid w:val="60294991"/>
    <w:rsid w:val="602B3AE2"/>
    <w:rsid w:val="603F531A"/>
    <w:rsid w:val="604A596D"/>
    <w:rsid w:val="60501FDB"/>
    <w:rsid w:val="605F47B9"/>
    <w:rsid w:val="60695F4D"/>
    <w:rsid w:val="6075276E"/>
    <w:rsid w:val="60770967"/>
    <w:rsid w:val="607B4300"/>
    <w:rsid w:val="607C1407"/>
    <w:rsid w:val="607D0D40"/>
    <w:rsid w:val="60835A91"/>
    <w:rsid w:val="608525E1"/>
    <w:rsid w:val="608616CE"/>
    <w:rsid w:val="60880F62"/>
    <w:rsid w:val="608F5287"/>
    <w:rsid w:val="60915B85"/>
    <w:rsid w:val="6094660B"/>
    <w:rsid w:val="60A01243"/>
    <w:rsid w:val="60A11A67"/>
    <w:rsid w:val="60B17B83"/>
    <w:rsid w:val="60B55223"/>
    <w:rsid w:val="60CB21A4"/>
    <w:rsid w:val="60CF4A51"/>
    <w:rsid w:val="60CF6873"/>
    <w:rsid w:val="60D07224"/>
    <w:rsid w:val="60D6419E"/>
    <w:rsid w:val="60D809DC"/>
    <w:rsid w:val="60ED6BA8"/>
    <w:rsid w:val="61004C07"/>
    <w:rsid w:val="6101510A"/>
    <w:rsid w:val="61094B1B"/>
    <w:rsid w:val="61096434"/>
    <w:rsid w:val="610F0880"/>
    <w:rsid w:val="61160FDA"/>
    <w:rsid w:val="61187C19"/>
    <w:rsid w:val="61275B72"/>
    <w:rsid w:val="61284A36"/>
    <w:rsid w:val="612C101A"/>
    <w:rsid w:val="612F2847"/>
    <w:rsid w:val="61315AA3"/>
    <w:rsid w:val="6140403E"/>
    <w:rsid w:val="61646E1E"/>
    <w:rsid w:val="61687D67"/>
    <w:rsid w:val="616B5965"/>
    <w:rsid w:val="616C62F6"/>
    <w:rsid w:val="61707DCC"/>
    <w:rsid w:val="6172208A"/>
    <w:rsid w:val="6175345D"/>
    <w:rsid w:val="617F7839"/>
    <w:rsid w:val="61963F54"/>
    <w:rsid w:val="61A1344F"/>
    <w:rsid w:val="61A4445E"/>
    <w:rsid w:val="61AC6033"/>
    <w:rsid w:val="61B031EE"/>
    <w:rsid w:val="61B242C4"/>
    <w:rsid w:val="61B56F70"/>
    <w:rsid w:val="61CA161C"/>
    <w:rsid w:val="61CA7926"/>
    <w:rsid w:val="61D0609E"/>
    <w:rsid w:val="61DB1A84"/>
    <w:rsid w:val="61DB57A4"/>
    <w:rsid w:val="61DF4125"/>
    <w:rsid w:val="61EC517E"/>
    <w:rsid w:val="61F50753"/>
    <w:rsid w:val="61F919A7"/>
    <w:rsid w:val="61FE6EF0"/>
    <w:rsid w:val="620D629D"/>
    <w:rsid w:val="6220088D"/>
    <w:rsid w:val="622334EE"/>
    <w:rsid w:val="622A76F0"/>
    <w:rsid w:val="623375C8"/>
    <w:rsid w:val="623E44AD"/>
    <w:rsid w:val="6244702F"/>
    <w:rsid w:val="62467333"/>
    <w:rsid w:val="62470D4F"/>
    <w:rsid w:val="62534C1C"/>
    <w:rsid w:val="62562666"/>
    <w:rsid w:val="625E6303"/>
    <w:rsid w:val="625F5CF9"/>
    <w:rsid w:val="62627CBB"/>
    <w:rsid w:val="626868FB"/>
    <w:rsid w:val="62776EE9"/>
    <w:rsid w:val="6280036F"/>
    <w:rsid w:val="62853DE3"/>
    <w:rsid w:val="628F701B"/>
    <w:rsid w:val="62980814"/>
    <w:rsid w:val="62AA162E"/>
    <w:rsid w:val="62BA518C"/>
    <w:rsid w:val="62C67958"/>
    <w:rsid w:val="62C850AC"/>
    <w:rsid w:val="62D6745D"/>
    <w:rsid w:val="62DC0344"/>
    <w:rsid w:val="62DD7151"/>
    <w:rsid w:val="62E02719"/>
    <w:rsid w:val="62E83842"/>
    <w:rsid w:val="630173F3"/>
    <w:rsid w:val="63020176"/>
    <w:rsid w:val="630B528A"/>
    <w:rsid w:val="630C17E0"/>
    <w:rsid w:val="630F0C53"/>
    <w:rsid w:val="631303F2"/>
    <w:rsid w:val="631734A7"/>
    <w:rsid w:val="631F070E"/>
    <w:rsid w:val="63205D9A"/>
    <w:rsid w:val="63255F20"/>
    <w:rsid w:val="6325733F"/>
    <w:rsid w:val="632F0C41"/>
    <w:rsid w:val="632F68AE"/>
    <w:rsid w:val="63327DBE"/>
    <w:rsid w:val="633345F0"/>
    <w:rsid w:val="63343EBB"/>
    <w:rsid w:val="633454DA"/>
    <w:rsid w:val="633D7D16"/>
    <w:rsid w:val="63502CBD"/>
    <w:rsid w:val="635A0D1C"/>
    <w:rsid w:val="63622FF5"/>
    <w:rsid w:val="63650559"/>
    <w:rsid w:val="636B285C"/>
    <w:rsid w:val="638555E2"/>
    <w:rsid w:val="63882E33"/>
    <w:rsid w:val="638A3D29"/>
    <w:rsid w:val="638B451E"/>
    <w:rsid w:val="639332E1"/>
    <w:rsid w:val="63944B4C"/>
    <w:rsid w:val="639A0E29"/>
    <w:rsid w:val="639E38B6"/>
    <w:rsid w:val="63A70B3A"/>
    <w:rsid w:val="63A86D8C"/>
    <w:rsid w:val="63A95B46"/>
    <w:rsid w:val="63B92ABE"/>
    <w:rsid w:val="63BD0132"/>
    <w:rsid w:val="63C43C45"/>
    <w:rsid w:val="63CB0783"/>
    <w:rsid w:val="63CB52D9"/>
    <w:rsid w:val="63DF0721"/>
    <w:rsid w:val="63E66B1E"/>
    <w:rsid w:val="63F25606"/>
    <w:rsid w:val="63FC1C15"/>
    <w:rsid w:val="64001C46"/>
    <w:rsid w:val="64022537"/>
    <w:rsid w:val="64095D2A"/>
    <w:rsid w:val="641937E6"/>
    <w:rsid w:val="642D0164"/>
    <w:rsid w:val="643172A9"/>
    <w:rsid w:val="6439616B"/>
    <w:rsid w:val="643D2BCD"/>
    <w:rsid w:val="64457B24"/>
    <w:rsid w:val="644608AA"/>
    <w:rsid w:val="644B02E1"/>
    <w:rsid w:val="64540F93"/>
    <w:rsid w:val="6454481E"/>
    <w:rsid w:val="646C437F"/>
    <w:rsid w:val="64712FA4"/>
    <w:rsid w:val="64722FCC"/>
    <w:rsid w:val="64744EC0"/>
    <w:rsid w:val="64763F71"/>
    <w:rsid w:val="64784D5B"/>
    <w:rsid w:val="647E2A05"/>
    <w:rsid w:val="647E6E92"/>
    <w:rsid w:val="647E77BF"/>
    <w:rsid w:val="64957E93"/>
    <w:rsid w:val="649F5487"/>
    <w:rsid w:val="64A137DB"/>
    <w:rsid w:val="64B0043D"/>
    <w:rsid w:val="64B61A2A"/>
    <w:rsid w:val="64C11001"/>
    <w:rsid w:val="64C16B3D"/>
    <w:rsid w:val="64D03BF7"/>
    <w:rsid w:val="64E224D4"/>
    <w:rsid w:val="64E948B9"/>
    <w:rsid w:val="64F37B6E"/>
    <w:rsid w:val="64F57A7A"/>
    <w:rsid w:val="64F63B27"/>
    <w:rsid w:val="64F80DCF"/>
    <w:rsid w:val="64FD4BAB"/>
    <w:rsid w:val="651105D5"/>
    <w:rsid w:val="65142D17"/>
    <w:rsid w:val="65196117"/>
    <w:rsid w:val="652F6E11"/>
    <w:rsid w:val="6530580C"/>
    <w:rsid w:val="65435E30"/>
    <w:rsid w:val="65461273"/>
    <w:rsid w:val="65695A67"/>
    <w:rsid w:val="656F1771"/>
    <w:rsid w:val="65804E1D"/>
    <w:rsid w:val="658068B2"/>
    <w:rsid w:val="65897F45"/>
    <w:rsid w:val="6597172B"/>
    <w:rsid w:val="659F468D"/>
    <w:rsid w:val="659F7D1B"/>
    <w:rsid w:val="65B65064"/>
    <w:rsid w:val="65BE51AB"/>
    <w:rsid w:val="65BF1C27"/>
    <w:rsid w:val="65C22EA4"/>
    <w:rsid w:val="65C361BE"/>
    <w:rsid w:val="65C63B99"/>
    <w:rsid w:val="65CB0B10"/>
    <w:rsid w:val="65D250C7"/>
    <w:rsid w:val="65E91151"/>
    <w:rsid w:val="65F80859"/>
    <w:rsid w:val="65F815C6"/>
    <w:rsid w:val="66015065"/>
    <w:rsid w:val="660C34F2"/>
    <w:rsid w:val="660D2904"/>
    <w:rsid w:val="661A06AB"/>
    <w:rsid w:val="6620573B"/>
    <w:rsid w:val="6624237F"/>
    <w:rsid w:val="662817F5"/>
    <w:rsid w:val="662D6CA5"/>
    <w:rsid w:val="66343439"/>
    <w:rsid w:val="6635553A"/>
    <w:rsid w:val="66384C24"/>
    <w:rsid w:val="663A7259"/>
    <w:rsid w:val="6642096E"/>
    <w:rsid w:val="66423958"/>
    <w:rsid w:val="66463AA1"/>
    <w:rsid w:val="665F4D12"/>
    <w:rsid w:val="66665B20"/>
    <w:rsid w:val="666E1970"/>
    <w:rsid w:val="666F0E0F"/>
    <w:rsid w:val="666F6B5A"/>
    <w:rsid w:val="668478F0"/>
    <w:rsid w:val="669D4C13"/>
    <w:rsid w:val="66A01E39"/>
    <w:rsid w:val="66A6073D"/>
    <w:rsid w:val="66AA6CEA"/>
    <w:rsid w:val="66B867B2"/>
    <w:rsid w:val="66CC1B88"/>
    <w:rsid w:val="66D02156"/>
    <w:rsid w:val="66E33806"/>
    <w:rsid w:val="66F10DAF"/>
    <w:rsid w:val="66F44C91"/>
    <w:rsid w:val="67005749"/>
    <w:rsid w:val="670116D6"/>
    <w:rsid w:val="6706438A"/>
    <w:rsid w:val="670D72D4"/>
    <w:rsid w:val="67121DA5"/>
    <w:rsid w:val="67285193"/>
    <w:rsid w:val="672B2DF4"/>
    <w:rsid w:val="672C385F"/>
    <w:rsid w:val="672F3E8A"/>
    <w:rsid w:val="67322317"/>
    <w:rsid w:val="67362E6F"/>
    <w:rsid w:val="673821D5"/>
    <w:rsid w:val="673E23A7"/>
    <w:rsid w:val="67495941"/>
    <w:rsid w:val="674C7EE8"/>
    <w:rsid w:val="675B5EC3"/>
    <w:rsid w:val="677B2DC1"/>
    <w:rsid w:val="678418BE"/>
    <w:rsid w:val="6784366C"/>
    <w:rsid w:val="678840FC"/>
    <w:rsid w:val="678D61A2"/>
    <w:rsid w:val="67AC20C6"/>
    <w:rsid w:val="67B331D4"/>
    <w:rsid w:val="67CE2AA8"/>
    <w:rsid w:val="67D0188C"/>
    <w:rsid w:val="67D35778"/>
    <w:rsid w:val="67DA0714"/>
    <w:rsid w:val="67E14335"/>
    <w:rsid w:val="67E45EB9"/>
    <w:rsid w:val="67E57636"/>
    <w:rsid w:val="67FB3202"/>
    <w:rsid w:val="68097099"/>
    <w:rsid w:val="68115331"/>
    <w:rsid w:val="681526FF"/>
    <w:rsid w:val="6815628E"/>
    <w:rsid w:val="681764E6"/>
    <w:rsid w:val="68196D03"/>
    <w:rsid w:val="6829511B"/>
    <w:rsid w:val="682C6F1B"/>
    <w:rsid w:val="683B2696"/>
    <w:rsid w:val="683C7AA3"/>
    <w:rsid w:val="683F4BBF"/>
    <w:rsid w:val="684352D5"/>
    <w:rsid w:val="68441370"/>
    <w:rsid w:val="684911BD"/>
    <w:rsid w:val="68523042"/>
    <w:rsid w:val="6856398D"/>
    <w:rsid w:val="68633281"/>
    <w:rsid w:val="686743DE"/>
    <w:rsid w:val="686822F1"/>
    <w:rsid w:val="686B2811"/>
    <w:rsid w:val="68710489"/>
    <w:rsid w:val="68713911"/>
    <w:rsid w:val="687A5E9B"/>
    <w:rsid w:val="68824259"/>
    <w:rsid w:val="688A5CDA"/>
    <w:rsid w:val="688B4586"/>
    <w:rsid w:val="689A13DC"/>
    <w:rsid w:val="689E2F33"/>
    <w:rsid w:val="68A50CB6"/>
    <w:rsid w:val="68A7502D"/>
    <w:rsid w:val="68AD6BF3"/>
    <w:rsid w:val="68B520B8"/>
    <w:rsid w:val="68C76AE5"/>
    <w:rsid w:val="68C87988"/>
    <w:rsid w:val="68D0468F"/>
    <w:rsid w:val="68DB1097"/>
    <w:rsid w:val="68ED1053"/>
    <w:rsid w:val="68F04EED"/>
    <w:rsid w:val="68F42381"/>
    <w:rsid w:val="68F5310E"/>
    <w:rsid w:val="68FB6711"/>
    <w:rsid w:val="690D2406"/>
    <w:rsid w:val="690E2973"/>
    <w:rsid w:val="690E58E3"/>
    <w:rsid w:val="69140A20"/>
    <w:rsid w:val="691604E7"/>
    <w:rsid w:val="6918447A"/>
    <w:rsid w:val="691A5C56"/>
    <w:rsid w:val="69224EEB"/>
    <w:rsid w:val="692E032C"/>
    <w:rsid w:val="693712A3"/>
    <w:rsid w:val="6942099E"/>
    <w:rsid w:val="69515E7D"/>
    <w:rsid w:val="695601E3"/>
    <w:rsid w:val="69607FCA"/>
    <w:rsid w:val="69631022"/>
    <w:rsid w:val="69650621"/>
    <w:rsid w:val="6969731D"/>
    <w:rsid w:val="696E52E2"/>
    <w:rsid w:val="69766FE4"/>
    <w:rsid w:val="6977091D"/>
    <w:rsid w:val="697E7235"/>
    <w:rsid w:val="698A0CE2"/>
    <w:rsid w:val="698D12C7"/>
    <w:rsid w:val="6990439B"/>
    <w:rsid w:val="69933248"/>
    <w:rsid w:val="69944193"/>
    <w:rsid w:val="699D46DC"/>
    <w:rsid w:val="69A753F0"/>
    <w:rsid w:val="69A80C2B"/>
    <w:rsid w:val="69AC79CE"/>
    <w:rsid w:val="69C674D9"/>
    <w:rsid w:val="69CF4986"/>
    <w:rsid w:val="69E23AB5"/>
    <w:rsid w:val="69F4074B"/>
    <w:rsid w:val="69F468D9"/>
    <w:rsid w:val="69FD3262"/>
    <w:rsid w:val="69FF522C"/>
    <w:rsid w:val="6A064913"/>
    <w:rsid w:val="6A0E1913"/>
    <w:rsid w:val="6A130CD7"/>
    <w:rsid w:val="6A167510"/>
    <w:rsid w:val="6A1F0530"/>
    <w:rsid w:val="6A25736F"/>
    <w:rsid w:val="6A333B9E"/>
    <w:rsid w:val="6A33620D"/>
    <w:rsid w:val="6A3E6CC2"/>
    <w:rsid w:val="6A5937BF"/>
    <w:rsid w:val="6A5D669B"/>
    <w:rsid w:val="6A6445E0"/>
    <w:rsid w:val="6A6A1417"/>
    <w:rsid w:val="6A7D1F63"/>
    <w:rsid w:val="6A931686"/>
    <w:rsid w:val="6A9C5E58"/>
    <w:rsid w:val="6AA24DCC"/>
    <w:rsid w:val="6AA37FDA"/>
    <w:rsid w:val="6AAB0DFC"/>
    <w:rsid w:val="6ACC10C7"/>
    <w:rsid w:val="6ACC5A8E"/>
    <w:rsid w:val="6AD26D06"/>
    <w:rsid w:val="6AD519BD"/>
    <w:rsid w:val="6ADA28E2"/>
    <w:rsid w:val="6AE06FB1"/>
    <w:rsid w:val="6AEF0C02"/>
    <w:rsid w:val="6AF35775"/>
    <w:rsid w:val="6AF45643"/>
    <w:rsid w:val="6B025130"/>
    <w:rsid w:val="6B0A4D41"/>
    <w:rsid w:val="6B104730"/>
    <w:rsid w:val="6B1C6159"/>
    <w:rsid w:val="6B2356E6"/>
    <w:rsid w:val="6B2A6C04"/>
    <w:rsid w:val="6B3111EC"/>
    <w:rsid w:val="6B347C0C"/>
    <w:rsid w:val="6B390F43"/>
    <w:rsid w:val="6B39651C"/>
    <w:rsid w:val="6B3C2879"/>
    <w:rsid w:val="6B4152C9"/>
    <w:rsid w:val="6B4328E0"/>
    <w:rsid w:val="6B43383E"/>
    <w:rsid w:val="6B435516"/>
    <w:rsid w:val="6B4A7FFD"/>
    <w:rsid w:val="6B4B4085"/>
    <w:rsid w:val="6B560C49"/>
    <w:rsid w:val="6B622A6D"/>
    <w:rsid w:val="6B740DCE"/>
    <w:rsid w:val="6B777CC8"/>
    <w:rsid w:val="6B7E120E"/>
    <w:rsid w:val="6B7E7978"/>
    <w:rsid w:val="6B8E4AB9"/>
    <w:rsid w:val="6B8E6D94"/>
    <w:rsid w:val="6B930BEB"/>
    <w:rsid w:val="6B986475"/>
    <w:rsid w:val="6BB97425"/>
    <w:rsid w:val="6BC04E8F"/>
    <w:rsid w:val="6BC24763"/>
    <w:rsid w:val="6BC71D79"/>
    <w:rsid w:val="6BD821D8"/>
    <w:rsid w:val="6BE51F37"/>
    <w:rsid w:val="6BEA7735"/>
    <w:rsid w:val="6BEF514D"/>
    <w:rsid w:val="6BF80B77"/>
    <w:rsid w:val="6C162760"/>
    <w:rsid w:val="6C2B3799"/>
    <w:rsid w:val="6C303DC2"/>
    <w:rsid w:val="6C341C18"/>
    <w:rsid w:val="6C4C61D1"/>
    <w:rsid w:val="6C560712"/>
    <w:rsid w:val="6C5A4A11"/>
    <w:rsid w:val="6C6D19AE"/>
    <w:rsid w:val="6C702411"/>
    <w:rsid w:val="6C81190A"/>
    <w:rsid w:val="6C8D2FC3"/>
    <w:rsid w:val="6C9627A2"/>
    <w:rsid w:val="6C965232"/>
    <w:rsid w:val="6C9727B1"/>
    <w:rsid w:val="6CAA270D"/>
    <w:rsid w:val="6CC47E5A"/>
    <w:rsid w:val="6CC85DA9"/>
    <w:rsid w:val="6CD02DD4"/>
    <w:rsid w:val="6CD24E7A"/>
    <w:rsid w:val="6CDD23B0"/>
    <w:rsid w:val="6CF02CE4"/>
    <w:rsid w:val="6CF8236D"/>
    <w:rsid w:val="6D0A7CE9"/>
    <w:rsid w:val="6D0D1A0E"/>
    <w:rsid w:val="6D193610"/>
    <w:rsid w:val="6D1C7EA3"/>
    <w:rsid w:val="6D22575F"/>
    <w:rsid w:val="6D2450D8"/>
    <w:rsid w:val="6D254229"/>
    <w:rsid w:val="6D2B3E12"/>
    <w:rsid w:val="6D4274C8"/>
    <w:rsid w:val="6D464F20"/>
    <w:rsid w:val="6D49760C"/>
    <w:rsid w:val="6D4A4DD2"/>
    <w:rsid w:val="6D53187C"/>
    <w:rsid w:val="6D5356FF"/>
    <w:rsid w:val="6D5E04BB"/>
    <w:rsid w:val="6D667370"/>
    <w:rsid w:val="6D680C53"/>
    <w:rsid w:val="6D764BBD"/>
    <w:rsid w:val="6D7D1F7F"/>
    <w:rsid w:val="6D8F0E4E"/>
    <w:rsid w:val="6D911DCA"/>
    <w:rsid w:val="6D9A5CAE"/>
    <w:rsid w:val="6DA225EA"/>
    <w:rsid w:val="6DA83A16"/>
    <w:rsid w:val="6DB00F77"/>
    <w:rsid w:val="6DB15765"/>
    <w:rsid w:val="6DBD1686"/>
    <w:rsid w:val="6DBF2E00"/>
    <w:rsid w:val="6DC474C6"/>
    <w:rsid w:val="6DC551D5"/>
    <w:rsid w:val="6DD62942"/>
    <w:rsid w:val="6DD65E09"/>
    <w:rsid w:val="6DD92835"/>
    <w:rsid w:val="6DDF5E3B"/>
    <w:rsid w:val="6DE170D3"/>
    <w:rsid w:val="6DEC3D19"/>
    <w:rsid w:val="6E0B0FCA"/>
    <w:rsid w:val="6E3654D9"/>
    <w:rsid w:val="6E3B0D11"/>
    <w:rsid w:val="6E3E5C5B"/>
    <w:rsid w:val="6E473067"/>
    <w:rsid w:val="6E490FD0"/>
    <w:rsid w:val="6E702E21"/>
    <w:rsid w:val="6E7543A1"/>
    <w:rsid w:val="6E804035"/>
    <w:rsid w:val="6E92178E"/>
    <w:rsid w:val="6E946B30"/>
    <w:rsid w:val="6E990C62"/>
    <w:rsid w:val="6E9C5413"/>
    <w:rsid w:val="6EA12D56"/>
    <w:rsid w:val="6EA2262A"/>
    <w:rsid w:val="6EA445F4"/>
    <w:rsid w:val="6EAB14DE"/>
    <w:rsid w:val="6EB07F72"/>
    <w:rsid w:val="6EB24AE9"/>
    <w:rsid w:val="6EB34837"/>
    <w:rsid w:val="6EB92AA7"/>
    <w:rsid w:val="6ED64E19"/>
    <w:rsid w:val="6EDA7AF9"/>
    <w:rsid w:val="6EEA64AE"/>
    <w:rsid w:val="6EEF4B37"/>
    <w:rsid w:val="6EFC7F8C"/>
    <w:rsid w:val="6F046E40"/>
    <w:rsid w:val="6F0508B3"/>
    <w:rsid w:val="6F0532E4"/>
    <w:rsid w:val="6F094457"/>
    <w:rsid w:val="6F223CBA"/>
    <w:rsid w:val="6F235101"/>
    <w:rsid w:val="6F2D3F54"/>
    <w:rsid w:val="6F300238"/>
    <w:rsid w:val="6F3C2A04"/>
    <w:rsid w:val="6F44464C"/>
    <w:rsid w:val="6F557D2D"/>
    <w:rsid w:val="6F5613DF"/>
    <w:rsid w:val="6F5A4CB2"/>
    <w:rsid w:val="6F5D7020"/>
    <w:rsid w:val="6F66043F"/>
    <w:rsid w:val="6F745BEA"/>
    <w:rsid w:val="6F78076B"/>
    <w:rsid w:val="6F8B14DE"/>
    <w:rsid w:val="6F9A30C8"/>
    <w:rsid w:val="6F9C0BD2"/>
    <w:rsid w:val="6FA04DBB"/>
    <w:rsid w:val="6FB04375"/>
    <w:rsid w:val="6FB510E8"/>
    <w:rsid w:val="6FB6638D"/>
    <w:rsid w:val="6FB77893"/>
    <w:rsid w:val="6FB84529"/>
    <w:rsid w:val="6FBA25F9"/>
    <w:rsid w:val="6FCB26C1"/>
    <w:rsid w:val="6FF00FE8"/>
    <w:rsid w:val="6FF8774C"/>
    <w:rsid w:val="700247DE"/>
    <w:rsid w:val="70070853"/>
    <w:rsid w:val="70117A67"/>
    <w:rsid w:val="7020421A"/>
    <w:rsid w:val="702D411F"/>
    <w:rsid w:val="70383612"/>
    <w:rsid w:val="703A4BFD"/>
    <w:rsid w:val="70462057"/>
    <w:rsid w:val="7052649C"/>
    <w:rsid w:val="7060454A"/>
    <w:rsid w:val="706C17F9"/>
    <w:rsid w:val="706F4486"/>
    <w:rsid w:val="70727B8C"/>
    <w:rsid w:val="70733A29"/>
    <w:rsid w:val="707531FC"/>
    <w:rsid w:val="70753FE3"/>
    <w:rsid w:val="7082098A"/>
    <w:rsid w:val="70AA39B1"/>
    <w:rsid w:val="70AC59E2"/>
    <w:rsid w:val="70AC7C7E"/>
    <w:rsid w:val="70AF72A4"/>
    <w:rsid w:val="70BE2730"/>
    <w:rsid w:val="70C5311C"/>
    <w:rsid w:val="70CA2BBC"/>
    <w:rsid w:val="70EA551B"/>
    <w:rsid w:val="70ED02EE"/>
    <w:rsid w:val="70ED469D"/>
    <w:rsid w:val="70F058CE"/>
    <w:rsid w:val="70F6510A"/>
    <w:rsid w:val="71057929"/>
    <w:rsid w:val="71175A22"/>
    <w:rsid w:val="7119312B"/>
    <w:rsid w:val="71217417"/>
    <w:rsid w:val="712E0AFE"/>
    <w:rsid w:val="712E53E1"/>
    <w:rsid w:val="71305D8B"/>
    <w:rsid w:val="7141542B"/>
    <w:rsid w:val="71420031"/>
    <w:rsid w:val="71436346"/>
    <w:rsid w:val="714425EE"/>
    <w:rsid w:val="71494DE5"/>
    <w:rsid w:val="714A625F"/>
    <w:rsid w:val="715804B6"/>
    <w:rsid w:val="71582F56"/>
    <w:rsid w:val="71593474"/>
    <w:rsid w:val="71704C61"/>
    <w:rsid w:val="71706A0F"/>
    <w:rsid w:val="71743542"/>
    <w:rsid w:val="71745F02"/>
    <w:rsid w:val="71811001"/>
    <w:rsid w:val="718603AB"/>
    <w:rsid w:val="718D5A81"/>
    <w:rsid w:val="7191692A"/>
    <w:rsid w:val="71A56C51"/>
    <w:rsid w:val="71A60E87"/>
    <w:rsid w:val="71B31DBF"/>
    <w:rsid w:val="71B36193"/>
    <w:rsid w:val="71CB1E97"/>
    <w:rsid w:val="71D25319"/>
    <w:rsid w:val="71DC57AF"/>
    <w:rsid w:val="71DD0CA3"/>
    <w:rsid w:val="71E52440"/>
    <w:rsid w:val="71ED1E8C"/>
    <w:rsid w:val="71F57420"/>
    <w:rsid w:val="72017D25"/>
    <w:rsid w:val="7206434C"/>
    <w:rsid w:val="720770B0"/>
    <w:rsid w:val="720B5896"/>
    <w:rsid w:val="72165A2B"/>
    <w:rsid w:val="72181429"/>
    <w:rsid w:val="72284FDE"/>
    <w:rsid w:val="722A318D"/>
    <w:rsid w:val="7236218C"/>
    <w:rsid w:val="723A1D56"/>
    <w:rsid w:val="72440361"/>
    <w:rsid w:val="724579CF"/>
    <w:rsid w:val="724764E7"/>
    <w:rsid w:val="7249413B"/>
    <w:rsid w:val="724D25D8"/>
    <w:rsid w:val="72522649"/>
    <w:rsid w:val="72572EF3"/>
    <w:rsid w:val="726235A7"/>
    <w:rsid w:val="72644730"/>
    <w:rsid w:val="72661FED"/>
    <w:rsid w:val="72734619"/>
    <w:rsid w:val="7275022C"/>
    <w:rsid w:val="727662A7"/>
    <w:rsid w:val="72783DCD"/>
    <w:rsid w:val="727A5FA4"/>
    <w:rsid w:val="727B22EE"/>
    <w:rsid w:val="728874F3"/>
    <w:rsid w:val="72951B12"/>
    <w:rsid w:val="72954C34"/>
    <w:rsid w:val="72972A9C"/>
    <w:rsid w:val="729959E7"/>
    <w:rsid w:val="72AA2EEE"/>
    <w:rsid w:val="72B40655"/>
    <w:rsid w:val="72B90408"/>
    <w:rsid w:val="72C07B31"/>
    <w:rsid w:val="72C67343"/>
    <w:rsid w:val="72CC3404"/>
    <w:rsid w:val="72CE7313"/>
    <w:rsid w:val="72D8187A"/>
    <w:rsid w:val="72E01973"/>
    <w:rsid w:val="72E3312D"/>
    <w:rsid w:val="731109F8"/>
    <w:rsid w:val="7314592C"/>
    <w:rsid w:val="73156A27"/>
    <w:rsid w:val="731E38AE"/>
    <w:rsid w:val="732309F5"/>
    <w:rsid w:val="73253CBC"/>
    <w:rsid w:val="73282C59"/>
    <w:rsid w:val="73373C88"/>
    <w:rsid w:val="73376638"/>
    <w:rsid w:val="73394A20"/>
    <w:rsid w:val="7352573A"/>
    <w:rsid w:val="735B2DBA"/>
    <w:rsid w:val="735D4657"/>
    <w:rsid w:val="736342C7"/>
    <w:rsid w:val="736655C0"/>
    <w:rsid w:val="7367554F"/>
    <w:rsid w:val="736A0B8F"/>
    <w:rsid w:val="73746059"/>
    <w:rsid w:val="73777B83"/>
    <w:rsid w:val="737A1575"/>
    <w:rsid w:val="737B7C22"/>
    <w:rsid w:val="739475AF"/>
    <w:rsid w:val="739C2EDC"/>
    <w:rsid w:val="73A0673A"/>
    <w:rsid w:val="73A2366E"/>
    <w:rsid w:val="73A82DA3"/>
    <w:rsid w:val="73AB3D2F"/>
    <w:rsid w:val="73B920AC"/>
    <w:rsid w:val="73BB0591"/>
    <w:rsid w:val="73BF60BB"/>
    <w:rsid w:val="73BF6414"/>
    <w:rsid w:val="73D76928"/>
    <w:rsid w:val="73E40B8A"/>
    <w:rsid w:val="73F670FD"/>
    <w:rsid w:val="73F86908"/>
    <w:rsid w:val="7404297B"/>
    <w:rsid w:val="741915E0"/>
    <w:rsid w:val="741E42AB"/>
    <w:rsid w:val="741F7802"/>
    <w:rsid w:val="74365655"/>
    <w:rsid w:val="74371F69"/>
    <w:rsid w:val="743B1556"/>
    <w:rsid w:val="74442C02"/>
    <w:rsid w:val="745A113A"/>
    <w:rsid w:val="745C586D"/>
    <w:rsid w:val="74634609"/>
    <w:rsid w:val="746D271F"/>
    <w:rsid w:val="746D7B7F"/>
    <w:rsid w:val="74713E77"/>
    <w:rsid w:val="748D1686"/>
    <w:rsid w:val="748F715A"/>
    <w:rsid w:val="749C34D3"/>
    <w:rsid w:val="749D1CDD"/>
    <w:rsid w:val="749E187C"/>
    <w:rsid w:val="74A53BA4"/>
    <w:rsid w:val="74BA2CA6"/>
    <w:rsid w:val="74C408A1"/>
    <w:rsid w:val="74C86E76"/>
    <w:rsid w:val="74D55729"/>
    <w:rsid w:val="74DE0203"/>
    <w:rsid w:val="74EB64E4"/>
    <w:rsid w:val="74EF20A8"/>
    <w:rsid w:val="7517441E"/>
    <w:rsid w:val="751A03E7"/>
    <w:rsid w:val="75276D95"/>
    <w:rsid w:val="752E10BB"/>
    <w:rsid w:val="75327DE3"/>
    <w:rsid w:val="753F5A2A"/>
    <w:rsid w:val="754226B0"/>
    <w:rsid w:val="754A6890"/>
    <w:rsid w:val="754C0B00"/>
    <w:rsid w:val="754E5A43"/>
    <w:rsid w:val="755503F6"/>
    <w:rsid w:val="75630CCD"/>
    <w:rsid w:val="75640639"/>
    <w:rsid w:val="75647671"/>
    <w:rsid w:val="75684AE6"/>
    <w:rsid w:val="757919BE"/>
    <w:rsid w:val="757B75F5"/>
    <w:rsid w:val="7587042E"/>
    <w:rsid w:val="758E06B8"/>
    <w:rsid w:val="758E4088"/>
    <w:rsid w:val="759536AD"/>
    <w:rsid w:val="759712C6"/>
    <w:rsid w:val="759B6AD9"/>
    <w:rsid w:val="759C3156"/>
    <w:rsid w:val="759F78C3"/>
    <w:rsid w:val="75A85011"/>
    <w:rsid w:val="75B45B8D"/>
    <w:rsid w:val="75B66B9C"/>
    <w:rsid w:val="75C64404"/>
    <w:rsid w:val="75C71784"/>
    <w:rsid w:val="75DF0C59"/>
    <w:rsid w:val="75E21269"/>
    <w:rsid w:val="75E83951"/>
    <w:rsid w:val="75ED2925"/>
    <w:rsid w:val="75F56B5C"/>
    <w:rsid w:val="76011BC9"/>
    <w:rsid w:val="760C26AA"/>
    <w:rsid w:val="760C7401"/>
    <w:rsid w:val="760E0CC1"/>
    <w:rsid w:val="760E1CC4"/>
    <w:rsid w:val="76194CAE"/>
    <w:rsid w:val="76297BAC"/>
    <w:rsid w:val="76302023"/>
    <w:rsid w:val="76320737"/>
    <w:rsid w:val="7634207B"/>
    <w:rsid w:val="76391AC6"/>
    <w:rsid w:val="76394D50"/>
    <w:rsid w:val="763C54EF"/>
    <w:rsid w:val="76414B3C"/>
    <w:rsid w:val="7644414E"/>
    <w:rsid w:val="764A08D5"/>
    <w:rsid w:val="764A55CA"/>
    <w:rsid w:val="764D5571"/>
    <w:rsid w:val="7657442E"/>
    <w:rsid w:val="766735E4"/>
    <w:rsid w:val="76766876"/>
    <w:rsid w:val="76945A25"/>
    <w:rsid w:val="76A0348C"/>
    <w:rsid w:val="76B21A3A"/>
    <w:rsid w:val="76C017C0"/>
    <w:rsid w:val="76C84BF7"/>
    <w:rsid w:val="76C92DCB"/>
    <w:rsid w:val="76D2405F"/>
    <w:rsid w:val="76D56676"/>
    <w:rsid w:val="76D96F87"/>
    <w:rsid w:val="7700681C"/>
    <w:rsid w:val="770308A3"/>
    <w:rsid w:val="771572E4"/>
    <w:rsid w:val="7718792D"/>
    <w:rsid w:val="7721621A"/>
    <w:rsid w:val="77232B57"/>
    <w:rsid w:val="77321EB0"/>
    <w:rsid w:val="77334E12"/>
    <w:rsid w:val="77404A94"/>
    <w:rsid w:val="774053D8"/>
    <w:rsid w:val="77467524"/>
    <w:rsid w:val="774B6D57"/>
    <w:rsid w:val="77522210"/>
    <w:rsid w:val="775E009E"/>
    <w:rsid w:val="775E5034"/>
    <w:rsid w:val="775E6765"/>
    <w:rsid w:val="77602701"/>
    <w:rsid w:val="77657BAC"/>
    <w:rsid w:val="776D40C1"/>
    <w:rsid w:val="77783BED"/>
    <w:rsid w:val="777F63F1"/>
    <w:rsid w:val="778D5DC0"/>
    <w:rsid w:val="778F5FCB"/>
    <w:rsid w:val="77A72912"/>
    <w:rsid w:val="77AE50E6"/>
    <w:rsid w:val="77B52F1F"/>
    <w:rsid w:val="77B54E04"/>
    <w:rsid w:val="77B82B2E"/>
    <w:rsid w:val="77C546AD"/>
    <w:rsid w:val="77CB2BF1"/>
    <w:rsid w:val="77D0505F"/>
    <w:rsid w:val="77D62D81"/>
    <w:rsid w:val="77DF24EF"/>
    <w:rsid w:val="77F04406"/>
    <w:rsid w:val="77F4039A"/>
    <w:rsid w:val="77F57C6E"/>
    <w:rsid w:val="77F7078C"/>
    <w:rsid w:val="77FE4D75"/>
    <w:rsid w:val="77FF76BB"/>
    <w:rsid w:val="780305DD"/>
    <w:rsid w:val="780844C0"/>
    <w:rsid w:val="78085BF3"/>
    <w:rsid w:val="780D4890"/>
    <w:rsid w:val="780D4B74"/>
    <w:rsid w:val="781C344D"/>
    <w:rsid w:val="782328B2"/>
    <w:rsid w:val="78304EBB"/>
    <w:rsid w:val="78402731"/>
    <w:rsid w:val="78440358"/>
    <w:rsid w:val="78475BED"/>
    <w:rsid w:val="785F0A94"/>
    <w:rsid w:val="785F6411"/>
    <w:rsid w:val="78636AFF"/>
    <w:rsid w:val="78757F49"/>
    <w:rsid w:val="78782095"/>
    <w:rsid w:val="788A0D47"/>
    <w:rsid w:val="788C04C2"/>
    <w:rsid w:val="789416CF"/>
    <w:rsid w:val="789732AA"/>
    <w:rsid w:val="78982C37"/>
    <w:rsid w:val="789B69D9"/>
    <w:rsid w:val="78A41665"/>
    <w:rsid w:val="78A43B6E"/>
    <w:rsid w:val="78A52BDC"/>
    <w:rsid w:val="78AD0017"/>
    <w:rsid w:val="78BD247C"/>
    <w:rsid w:val="78BE5E78"/>
    <w:rsid w:val="78C275E9"/>
    <w:rsid w:val="78C73DB8"/>
    <w:rsid w:val="78C95DEC"/>
    <w:rsid w:val="78CA7FF1"/>
    <w:rsid w:val="78CE4414"/>
    <w:rsid w:val="78D41353"/>
    <w:rsid w:val="78DD614B"/>
    <w:rsid w:val="78E957D1"/>
    <w:rsid w:val="78F21929"/>
    <w:rsid w:val="7908577F"/>
    <w:rsid w:val="792B0450"/>
    <w:rsid w:val="792B3358"/>
    <w:rsid w:val="79305421"/>
    <w:rsid w:val="79435362"/>
    <w:rsid w:val="79460ACD"/>
    <w:rsid w:val="79554E68"/>
    <w:rsid w:val="795903C8"/>
    <w:rsid w:val="795F1843"/>
    <w:rsid w:val="79610CDC"/>
    <w:rsid w:val="796D41E4"/>
    <w:rsid w:val="797144C2"/>
    <w:rsid w:val="797E1661"/>
    <w:rsid w:val="798A40ED"/>
    <w:rsid w:val="79967BA2"/>
    <w:rsid w:val="79976286"/>
    <w:rsid w:val="79A3762F"/>
    <w:rsid w:val="79A715B3"/>
    <w:rsid w:val="79B64503"/>
    <w:rsid w:val="79C13002"/>
    <w:rsid w:val="79C47B52"/>
    <w:rsid w:val="79C60171"/>
    <w:rsid w:val="79CD2AC0"/>
    <w:rsid w:val="79D54DBB"/>
    <w:rsid w:val="79E26FDC"/>
    <w:rsid w:val="79E7016D"/>
    <w:rsid w:val="79EE0E19"/>
    <w:rsid w:val="79EE3136"/>
    <w:rsid w:val="7A0C0820"/>
    <w:rsid w:val="7A0F33C5"/>
    <w:rsid w:val="7A151EEB"/>
    <w:rsid w:val="7A170209"/>
    <w:rsid w:val="7A262361"/>
    <w:rsid w:val="7A447032"/>
    <w:rsid w:val="7A566D67"/>
    <w:rsid w:val="7A5E1AFB"/>
    <w:rsid w:val="7A6C6001"/>
    <w:rsid w:val="7A756E44"/>
    <w:rsid w:val="7A8D071B"/>
    <w:rsid w:val="7A90282B"/>
    <w:rsid w:val="7A9940E0"/>
    <w:rsid w:val="7A9B68AB"/>
    <w:rsid w:val="7AA01442"/>
    <w:rsid w:val="7AA75BD1"/>
    <w:rsid w:val="7AB0585B"/>
    <w:rsid w:val="7AB10B85"/>
    <w:rsid w:val="7AB41FB2"/>
    <w:rsid w:val="7ABB5AB0"/>
    <w:rsid w:val="7AC810B7"/>
    <w:rsid w:val="7AD70EB2"/>
    <w:rsid w:val="7ADA6863"/>
    <w:rsid w:val="7ADE49EA"/>
    <w:rsid w:val="7AE17537"/>
    <w:rsid w:val="7AE36A46"/>
    <w:rsid w:val="7AE525A3"/>
    <w:rsid w:val="7AE7015F"/>
    <w:rsid w:val="7AEE7323"/>
    <w:rsid w:val="7AFE32DE"/>
    <w:rsid w:val="7B0326A2"/>
    <w:rsid w:val="7B042B16"/>
    <w:rsid w:val="7B0D5543"/>
    <w:rsid w:val="7B1E217F"/>
    <w:rsid w:val="7B2835D0"/>
    <w:rsid w:val="7B2A20F6"/>
    <w:rsid w:val="7B3750B8"/>
    <w:rsid w:val="7B3B59C9"/>
    <w:rsid w:val="7B3D277A"/>
    <w:rsid w:val="7B3F4D97"/>
    <w:rsid w:val="7B4741C0"/>
    <w:rsid w:val="7B48206A"/>
    <w:rsid w:val="7B50217B"/>
    <w:rsid w:val="7B57075C"/>
    <w:rsid w:val="7B610161"/>
    <w:rsid w:val="7B66335D"/>
    <w:rsid w:val="7B6C3E3F"/>
    <w:rsid w:val="7B7805CE"/>
    <w:rsid w:val="7B8637EC"/>
    <w:rsid w:val="7B892BA7"/>
    <w:rsid w:val="7B8A3C04"/>
    <w:rsid w:val="7B8A691F"/>
    <w:rsid w:val="7B9559F0"/>
    <w:rsid w:val="7B9A05A5"/>
    <w:rsid w:val="7B9E1363"/>
    <w:rsid w:val="7BAA1D3C"/>
    <w:rsid w:val="7BAF6AA4"/>
    <w:rsid w:val="7BB41264"/>
    <w:rsid w:val="7BB90CF7"/>
    <w:rsid w:val="7BBC3BFE"/>
    <w:rsid w:val="7BC057CD"/>
    <w:rsid w:val="7BC60BCF"/>
    <w:rsid w:val="7BE44EAE"/>
    <w:rsid w:val="7BE76496"/>
    <w:rsid w:val="7BEA6EB3"/>
    <w:rsid w:val="7BF32717"/>
    <w:rsid w:val="7BF35980"/>
    <w:rsid w:val="7BFA076A"/>
    <w:rsid w:val="7BFB496B"/>
    <w:rsid w:val="7C077F70"/>
    <w:rsid w:val="7C125525"/>
    <w:rsid w:val="7C1E087B"/>
    <w:rsid w:val="7C246DC1"/>
    <w:rsid w:val="7C2B7117"/>
    <w:rsid w:val="7C336FB7"/>
    <w:rsid w:val="7C354ADD"/>
    <w:rsid w:val="7C38055A"/>
    <w:rsid w:val="7C382703"/>
    <w:rsid w:val="7C390BCF"/>
    <w:rsid w:val="7C3B232D"/>
    <w:rsid w:val="7C4207A0"/>
    <w:rsid w:val="7C4E3150"/>
    <w:rsid w:val="7C53250F"/>
    <w:rsid w:val="7C574B31"/>
    <w:rsid w:val="7C596A1E"/>
    <w:rsid w:val="7C5F5BB7"/>
    <w:rsid w:val="7C691C81"/>
    <w:rsid w:val="7C6C3556"/>
    <w:rsid w:val="7C714109"/>
    <w:rsid w:val="7C742A2B"/>
    <w:rsid w:val="7C80289C"/>
    <w:rsid w:val="7CA97205"/>
    <w:rsid w:val="7CAA1779"/>
    <w:rsid w:val="7CAB4BAB"/>
    <w:rsid w:val="7CB02B6A"/>
    <w:rsid w:val="7CB15275"/>
    <w:rsid w:val="7CB74C3B"/>
    <w:rsid w:val="7CBA434F"/>
    <w:rsid w:val="7CC4025E"/>
    <w:rsid w:val="7CCD2C11"/>
    <w:rsid w:val="7CCF4E57"/>
    <w:rsid w:val="7CD409F3"/>
    <w:rsid w:val="7CD633F5"/>
    <w:rsid w:val="7CDD4A6B"/>
    <w:rsid w:val="7CEC0D1A"/>
    <w:rsid w:val="7CFA15B7"/>
    <w:rsid w:val="7CFA2D3B"/>
    <w:rsid w:val="7D013038"/>
    <w:rsid w:val="7D056BA5"/>
    <w:rsid w:val="7D146A39"/>
    <w:rsid w:val="7D226E2B"/>
    <w:rsid w:val="7D284289"/>
    <w:rsid w:val="7D2A407F"/>
    <w:rsid w:val="7D2F6A16"/>
    <w:rsid w:val="7D2F776D"/>
    <w:rsid w:val="7D414724"/>
    <w:rsid w:val="7D467402"/>
    <w:rsid w:val="7D477EB1"/>
    <w:rsid w:val="7D4C004D"/>
    <w:rsid w:val="7D5707F1"/>
    <w:rsid w:val="7D586EFA"/>
    <w:rsid w:val="7D5F17CF"/>
    <w:rsid w:val="7D67555F"/>
    <w:rsid w:val="7D6F68DF"/>
    <w:rsid w:val="7D731D61"/>
    <w:rsid w:val="7D772A7A"/>
    <w:rsid w:val="7D8605B4"/>
    <w:rsid w:val="7D870897"/>
    <w:rsid w:val="7D8C780C"/>
    <w:rsid w:val="7D913F95"/>
    <w:rsid w:val="7D9E04F8"/>
    <w:rsid w:val="7DA65D21"/>
    <w:rsid w:val="7DA9261D"/>
    <w:rsid w:val="7DB42244"/>
    <w:rsid w:val="7DD32800"/>
    <w:rsid w:val="7DD75952"/>
    <w:rsid w:val="7DDA2EA4"/>
    <w:rsid w:val="7DE12FB9"/>
    <w:rsid w:val="7DF8232B"/>
    <w:rsid w:val="7E0B1F99"/>
    <w:rsid w:val="7E0D0FBC"/>
    <w:rsid w:val="7E0E4B0C"/>
    <w:rsid w:val="7E13302C"/>
    <w:rsid w:val="7E141A19"/>
    <w:rsid w:val="7E1803F3"/>
    <w:rsid w:val="7E2149DC"/>
    <w:rsid w:val="7E2570D6"/>
    <w:rsid w:val="7E360F5F"/>
    <w:rsid w:val="7E4B4EF1"/>
    <w:rsid w:val="7E572CB5"/>
    <w:rsid w:val="7E5E0717"/>
    <w:rsid w:val="7E602E2F"/>
    <w:rsid w:val="7E663674"/>
    <w:rsid w:val="7E6721A4"/>
    <w:rsid w:val="7E6873EC"/>
    <w:rsid w:val="7E776A5E"/>
    <w:rsid w:val="7E891110"/>
    <w:rsid w:val="7E930122"/>
    <w:rsid w:val="7E961F3F"/>
    <w:rsid w:val="7EA11B1F"/>
    <w:rsid w:val="7EA810CD"/>
    <w:rsid w:val="7EC25DD5"/>
    <w:rsid w:val="7ECC0543"/>
    <w:rsid w:val="7ED06E49"/>
    <w:rsid w:val="7EDC08CE"/>
    <w:rsid w:val="7EE3444B"/>
    <w:rsid w:val="7EE54599"/>
    <w:rsid w:val="7EE8052D"/>
    <w:rsid w:val="7EF47A93"/>
    <w:rsid w:val="7EF5235D"/>
    <w:rsid w:val="7F014BB6"/>
    <w:rsid w:val="7F021484"/>
    <w:rsid w:val="7F0C2DB2"/>
    <w:rsid w:val="7F0E208F"/>
    <w:rsid w:val="7F143406"/>
    <w:rsid w:val="7F1E4017"/>
    <w:rsid w:val="7F232C81"/>
    <w:rsid w:val="7F2B620D"/>
    <w:rsid w:val="7F337DC3"/>
    <w:rsid w:val="7F3C6183"/>
    <w:rsid w:val="7F531891"/>
    <w:rsid w:val="7F574A64"/>
    <w:rsid w:val="7F5B7095"/>
    <w:rsid w:val="7F5C44BA"/>
    <w:rsid w:val="7F6D0983"/>
    <w:rsid w:val="7F761695"/>
    <w:rsid w:val="7F774094"/>
    <w:rsid w:val="7F7C4F57"/>
    <w:rsid w:val="7F7D0255"/>
    <w:rsid w:val="7F847587"/>
    <w:rsid w:val="7F892DD1"/>
    <w:rsid w:val="7F8A1EF4"/>
    <w:rsid w:val="7F912972"/>
    <w:rsid w:val="7F9304EB"/>
    <w:rsid w:val="7F945FBF"/>
    <w:rsid w:val="7F9C0CF5"/>
    <w:rsid w:val="7F9D0021"/>
    <w:rsid w:val="7FA45846"/>
    <w:rsid w:val="7FA86318"/>
    <w:rsid w:val="7FAA57E2"/>
    <w:rsid w:val="7FCB7C32"/>
    <w:rsid w:val="7FD123CD"/>
    <w:rsid w:val="7FD21C50"/>
    <w:rsid w:val="7FD74D18"/>
    <w:rsid w:val="7FD91E3F"/>
    <w:rsid w:val="7FD971A7"/>
    <w:rsid w:val="7FF271DA"/>
    <w:rsid w:val="7FF43D47"/>
    <w:rsid w:val="7FFF6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99" w:semiHidden="0" w:name="index heading"/>
    <w:lsdException w:qFormat="1" w:uiPriority="0" w:semiHidden="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47"/>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kern w:val="0"/>
      <w:sz w:val="32"/>
    </w:rPr>
  </w:style>
  <w:style w:type="paragraph" w:styleId="5">
    <w:name w:val="heading 4"/>
    <w:basedOn w:val="1"/>
    <w:next w:val="1"/>
    <w:link w:val="44"/>
    <w:unhideWhenUsed/>
    <w:qFormat/>
    <w:uiPriority w:val="0"/>
    <w:pPr>
      <w:keepNext/>
      <w:keepLines/>
      <w:numPr>
        <w:ilvl w:val="0"/>
        <w:numId w:val="2"/>
      </w:numPr>
      <w:ind w:left="0"/>
      <w:jc w:val="center"/>
      <w:outlineLvl w:val="3"/>
    </w:pPr>
    <w:rPr>
      <w:b/>
      <w:sz w:val="21"/>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List 3"/>
    <w:basedOn w:val="1"/>
    <w:qFormat/>
    <w:uiPriority w:val="0"/>
    <w:pPr>
      <w:numPr>
        <w:ilvl w:val="4"/>
        <w:numId w:val="3"/>
      </w:numPr>
      <w:spacing w:line="240" w:lineRule="auto"/>
      <w:jc w:val="center"/>
    </w:pPr>
    <w:rPr>
      <w:b/>
      <w:sz w:val="21"/>
    </w:rPr>
  </w:style>
  <w:style w:type="paragraph" w:styleId="8">
    <w:name w:val="Normal Indent"/>
    <w:basedOn w:val="1"/>
    <w:next w:val="1"/>
    <w:qFormat/>
    <w:uiPriority w:val="0"/>
    <w:pPr>
      <w:ind w:firstLine="420"/>
    </w:pPr>
    <w:rPr>
      <w:rFonts w:ascii="宋体" w:hAnsi="宋体"/>
    </w:rPr>
  </w:style>
  <w:style w:type="paragraph" w:styleId="9">
    <w:name w:val="caption"/>
    <w:basedOn w:val="1"/>
    <w:next w:val="1"/>
    <w:unhideWhenUsed/>
    <w:qFormat/>
    <w:uiPriority w:val="0"/>
    <w:pPr>
      <w:jc w:val="center"/>
    </w:pPr>
    <w:rPr>
      <w:b/>
    </w:rPr>
  </w:style>
  <w:style w:type="paragraph" w:styleId="10">
    <w:name w:val="toa heading"/>
    <w:basedOn w:val="1"/>
    <w:next w:val="1"/>
    <w:qFormat/>
    <w:uiPriority w:val="0"/>
    <w:pPr>
      <w:spacing w:before="120"/>
    </w:pPr>
    <w:rPr>
      <w:rFonts w:ascii="Arial" w:hAnsi="Arial"/>
    </w:rPr>
  </w:style>
  <w:style w:type="paragraph" w:styleId="11">
    <w:name w:val="annotation text"/>
    <w:basedOn w:val="1"/>
    <w:link w:val="41"/>
    <w:qFormat/>
    <w:uiPriority w:val="0"/>
    <w:pPr>
      <w:jc w:val="left"/>
    </w:pPr>
  </w:style>
  <w:style w:type="paragraph" w:styleId="12">
    <w:name w:val="Body Text"/>
    <w:basedOn w:val="1"/>
    <w:next w:val="1"/>
    <w:qFormat/>
    <w:uiPriority w:val="0"/>
    <w:pPr>
      <w:widowControl/>
      <w:snapToGrid w:val="0"/>
      <w:spacing w:before="60" w:after="160" w:line="259" w:lineRule="auto"/>
      <w:ind w:right="113"/>
    </w:pPr>
    <w:rPr>
      <w:kern w:val="0"/>
      <w:szCs w:val="20"/>
    </w:rPr>
  </w:style>
  <w:style w:type="paragraph" w:styleId="13">
    <w:name w:val="Body Text Indent"/>
    <w:basedOn w:val="1"/>
    <w:next w:val="14"/>
    <w:qFormat/>
    <w:uiPriority w:val="0"/>
    <w:pPr>
      <w:spacing w:after="120"/>
      <w:ind w:left="420" w:leftChars="200"/>
    </w:pPr>
    <w:rPr>
      <w:kern w:val="0"/>
      <w:szCs w:val="20"/>
    </w:rPr>
  </w:style>
  <w:style w:type="paragraph" w:customStyle="1" w:styleId="14">
    <w:name w:val="正文文字 6"/>
    <w:next w:val="1"/>
    <w:unhideWhenUsed/>
    <w:qFormat/>
    <w:uiPriority w:val="0"/>
    <w:pPr>
      <w:widowControl w:val="0"/>
      <w:ind w:left="240"/>
      <w:jc w:val="both"/>
    </w:pPr>
    <w:rPr>
      <w:rFonts w:hint="eastAsia" w:ascii="宋体" w:hAnsi="Times New Roman" w:eastAsia="宋体" w:cs="Times New Roman"/>
      <w:b/>
      <w:kern w:val="2"/>
      <w:sz w:val="32"/>
      <w:szCs w:val="32"/>
      <w:lang w:val="en-US" w:eastAsia="zh-CN" w:bidi="ar-SA"/>
    </w:rPr>
  </w:style>
  <w:style w:type="paragraph" w:styleId="15">
    <w:name w:val="Block Text"/>
    <w:basedOn w:val="1"/>
    <w:next w:val="1"/>
    <w:qFormat/>
    <w:uiPriority w:val="0"/>
    <w:pPr>
      <w:spacing w:after="120"/>
      <w:ind w:left="1440" w:right="1440"/>
    </w:pPr>
    <w:rPr>
      <w:rFonts w:ascii="宋体" w:hAnsi="宋体"/>
    </w:rPr>
  </w:style>
  <w:style w:type="paragraph" w:styleId="16">
    <w:name w:val="List Bullet 5"/>
    <w:basedOn w:val="1"/>
    <w:qFormat/>
    <w:uiPriority w:val="0"/>
    <w:pPr>
      <w:numPr>
        <w:ilvl w:val="0"/>
        <w:numId w:val="4"/>
      </w:numPr>
    </w:pPr>
  </w:style>
  <w:style w:type="paragraph" w:styleId="17">
    <w:name w:val="Body Text Indent 2"/>
    <w:basedOn w:val="1"/>
    <w:next w:val="18"/>
    <w:qFormat/>
    <w:uiPriority w:val="0"/>
    <w:pPr>
      <w:spacing w:line="300" w:lineRule="auto"/>
      <w:ind w:firstLine="480"/>
    </w:pPr>
    <w:rPr>
      <w:rFonts w:ascii="仿宋体" w:eastAsia="仿宋体"/>
      <w:b/>
      <w:bCs/>
    </w:rPr>
  </w:style>
  <w:style w:type="paragraph" w:customStyle="1" w:styleId="18">
    <w:name w:val="简单回函地址"/>
    <w:next w:val="19"/>
    <w:autoRedefine/>
    <w:qFormat/>
    <w:uiPriority w:val="0"/>
    <w:pPr>
      <w:widowControl w:val="0"/>
      <w:numPr>
        <w:ilvl w:val="0"/>
        <w:numId w:val="5"/>
      </w:numPr>
      <w:snapToGrid w:val="0"/>
      <w:jc w:val="center"/>
    </w:pPr>
    <w:rPr>
      <w:rFonts w:ascii="Times New Roman" w:hAnsi="Times New Roman" w:eastAsia="仿宋" w:cs="Times New Roman"/>
      <w:b/>
      <w:kern w:val="2"/>
      <w:sz w:val="21"/>
      <w:szCs w:val="22"/>
      <w:lang w:val="en-US" w:eastAsia="zh-CN" w:bidi="ar-SA"/>
    </w:rPr>
  </w:style>
  <w:style w:type="paragraph" w:customStyle="1" w:styleId="19">
    <w:name w:val="正文2"/>
    <w:basedOn w:val="1"/>
    <w:next w:val="8"/>
    <w:autoRedefine/>
    <w:qFormat/>
    <w:uiPriority w:val="0"/>
    <w:pPr>
      <w:spacing w:line="360" w:lineRule="auto"/>
      <w:ind w:firstLine="200" w:firstLineChars="200"/>
    </w:pPr>
    <w:rPr>
      <w:sz w:val="24"/>
    </w:rPr>
  </w:style>
  <w:style w:type="paragraph" w:styleId="20">
    <w:name w:val="Balloon Text"/>
    <w:basedOn w:val="1"/>
    <w:link w:val="46"/>
    <w:qFormat/>
    <w:uiPriority w:val="0"/>
    <w:rPr>
      <w:sz w:val="18"/>
      <w:szCs w:val="18"/>
    </w:rPr>
  </w:style>
  <w:style w:type="paragraph" w:styleId="21">
    <w:name w:val="footer"/>
    <w:basedOn w:val="1"/>
    <w:qFormat/>
    <w:uiPriority w:val="99"/>
    <w:pPr>
      <w:tabs>
        <w:tab w:val="center" w:pos="4153"/>
        <w:tab w:val="right" w:pos="8306"/>
      </w:tabs>
      <w:snapToGrid w:val="0"/>
      <w:jc w:val="left"/>
    </w:pPr>
    <w:rPr>
      <w:kern w:val="0"/>
      <w:sz w:val="18"/>
      <w:szCs w:val="20"/>
    </w:rPr>
  </w:style>
  <w:style w:type="paragraph" w:styleId="2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3">
    <w:name w:val="index heading"/>
    <w:basedOn w:val="1"/>
    <w:next w:val="24"/>
    <w:unhideWhenUsed/>
    <w:qFormat/>
    <w:uiPriority w:val="99"/>
  </w:style>
  <w:style w:type="paragraph" w:styleId="24">
    <w:name w:val="index 1"/>
    <w:basedOn w:val="1"/>
    <w:next w:val="1"/>
    <w:unhideWhenUsed/>
    <w:qFormat/>
    <w:uiPriority w:val="99"/>
    <w:rPr>
      <w:rFonts w:asciiTheme="minorHAnsi" w:hAnsiTheme="minorHAnsi" w:eastAsiaTheme="minorEastAsia"/>
      <w:szCs w:val="22"/>
    </w:rPr>
  </w:style>
  <w:style w:type="paragraph" w:styleId="25">
    <w:name w:val="List"/>
    <w:basedOn w:val="1"/>
    <w:unhideWhenUsed/>
    <w:qFormat/>
    <w:uiPriority w:val="99"/>
    <w:pPr>
      <w:spacing w:line="360" w:lineRule="exact"/>
      <w:jc w:val="center"/>
    </w:pPr>
    <w:rPr>
      <w:rFonts w:ascii="仿宋_GB2312" w:eastAsia="仿宋_GB2312"/>
    </w:rPr>
  </w:style>
  <w:style w:type="paragraph" w:styleId="26">
    <w:name w:val="Body Text Indent 3"/>
    <w:basedOn w:val="1"/>
    <w:qFormat/>
    <w:uiPriority w:val="0"/>
    <w:pPr>
      <w:spacing w:line="360" w:lineRule="auto"/>
      <w:ind w:firstLine="555"/>
    </w:pPr>
    <w:rPr>
      <w:rFonts w:ascii="宋体"/>
      <w:kern w:val="44"/>
      <w:sz w:val="21"/>
    </w:rPr>
  </w:style>
  <w:style w:type="paragraph" w:styleId="27">
    <w:name w:val="table of figures"/>
    <w:basedOn w:val="1"/>
    <w:next w:val="1"/>
    <w:unhideWhenUsed/>
    <w:qFormat/>
    <w:uiPriority w:val="0"/>
    <w:pPr>
      <w:ind w:left="200" w:leftChars="200" w:hanging="200" w:hangingChars="200"/>
    </w:pPr>
    <w:rPr>
      <w:rFonts w:hint="eastAsia"/>
      <w:szCs w:val="20"/>
    </w:rPr>
  </w:style>
  <w:style w:type="paragraph" w:styleId="28">
    <w:name w:val="Body Text 2"/>
    <w:basedOn w:val="1"/>
    <w:qFormat/>
    <w:uiPriority w:val="0"/>
    <w:pPr>
      <w:spacing w:after="120" w:line="480" w:lineRule="auto"/>
    </w:pPr>
  </w:style>
  <w:style w:type="paragraph" w:styleId="29">
    <w:name w:val="Normal (Web)"/>
    <w:basedOn w:val="1"/>
    <w:qFormat/>
    <w:uiPriority w:val="0"/>
    <w:pPr>
      <w:widowControl/>
      <w:spacing w:before="100" w:beforeAutospacing="1" w:after="100" w:afterAutospacing="1"/>
      <w:jc w:val="left"/>
    </w:pPr>
    <w:rPr>
      <w:rFonts w:ascii="宋体" w:hAnsi="宋体"/>
      <w:kern w:val="0"/>
      <w:szCs w:val="20"/>
    </w:rPr>
  </w:style>
  <w:style w:type="paragraph" w:styleId="30">
    <w:name w:val="annotation subject"/>
    <w:basedOn w:val="11"/>
    <w:next w:val="11"/>
    <w:link w:val="45"/>
    <w:qFormat/>
    <w:uiPriority w:val="0"/>
    <w:rPr>
      <w:b/>
      <w:bCs/>
    </w:rPr>
  </w:style>
  <w:style w:type="paragraph" w:styleId="31">
    <w:name w:val="Body Text First Indent"/>
    <w:basedOn w:val="12"/>
    <w:qFormat/>
    <w:uiPriority w:val="0"/>
    <w:pPr>
      <w:ind w:firstLine="420" w:firstLineChars="100"/>
    </w:pPr>
  </w:style>
  <w:style w:type="paragraph" w:styleId="32">
    <w:name w:val="Body Text First Indent 2"/>
    <w:basedOn w:val="13"/>
    <w:next w:val="13"/>
    <w:qFormat/>
    <w:uiPriority w:val="0"/>
    <w:pPr>
      <w:tabs>
        <w:tab w:val="left" w:pos="420"/>
        <w:tab w:val="left" w:pos="870"/>
        <w:tab w:val="left" w:pos="2896"/>
        <w:tab w:val="left" w:pos="3150"/>
      </w:tabs>
      <w:autoSpaceDE w:val="0"/>
      <w:autoSpaceDN w:val="0"/>
      <w:adjustRightInd w:val="0"/>
      <w:spacing w:beforeLines="25" w:line="336" w:lineRule="auto"/>
      <w:ind w:firstLine="527"/>
      <w:textAlignment w:val="baseline"/>
    </w:pPr>
    <w:rPr>
      <w:szCs w:val="28"/>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page number"/>
    <w:basedOn w:val="35"/>
    <w:qFormat/>
    <w:uiPriority w:val="0"/>
  </w:style>
  <w:style w:type="character" w:styleId="38">
    <w:name w:val="Emphasis"/>
    <w:basedOn w:val="35"/>
    <w:qFormat/>
    <w:uiPriority w:val="0"/>
    <w:rPr>
      <w:i/>
    </w:rPr>
  </w:style>
  <w:style w:type="character" w:styleId="39">
    <w:name w:val="Hyperlink"/>
    <w:basedOn w:val="35"/>
    <w:qFormat/>
    <w:uiPriority w:val="0"/>
    <w:rPr>
      <w:color w:val="0000FF"/>
      <w:u w:val="single"/>
    </w:rPr>
  </w:style>
  <w:style w:type="character" w:styleId="40">
    <w:name w:val="annotation reference"/>
    <w:qFormat/>
    <w:uiPriority w:val="0"/>
    <w:rPr>
      <w:sz w:val="21"/>
    </w:rPr>
  </w:style>
  <w:style w:type="character" w:customStyle="1" w:styleId="41">
    <w:name w:val="批注文字 Char"/>
    <w:basedOn w:val="35"/>
    <w:link w:val="11"/>
    <w:qFormat/>
    <w:uiPriority w:val="0"/>
    <w:rPr>
      <w:kern w:val="2"/>
      <w:sz w:val="24"/>
      <w:szCs w:val="24"/>
    </w:rPr>
  </w:style>
  <w:style w:type="paragraph" w:customStyle="1" w:styleId="42">
    <w:name w:val="表格标题"/>
    <w:basedOn w:val="1"/>
    <w:next w:val="43"/>
    <w:qFormat/>
    <w:uiPriority w:val="0"/>
    <w:pPr>
      <w:numPr>
        <w:ilvl w:val="4"/>
        <w:numId w:val="6"/>
      </w:numPr>
      <w:ind w:left="567" w:hanging="567"/>
    </w:pPr>
  </w:style>
  <w:style w:type="paragraph" w:customStyle="1" w:styleId="43">
    <w:name w:val="表头"/>
    <w:basedOn w:val="1"/>
    <w:qFormat/>
    <w:uiPriority w:val="0"/>
    <w:pPr>
      <w:spacing w:line="240" w:lineRule="auto"/>
      <w:ind w:firstLine="0" w:firstLineChars="0"/>
      <w:jc w:val="center"/>
    </w:pPr>
    <w:rPr>
      <w:b/>
      <w:sz w:val="21"/>
    </w:rPr>
  </w:style>
  <w:style w:type="character" w:customStyle="1" w:styleId="44">
    <w:name w:val="标题 4 Char"/>
    <w:link w:val="5"/>
    <w:qFormat/>
    <w:uiPriority w:val="0"/>
    <w:rPr>
      <w:rFonts w:ascii="Times New Roman" w:hAnsi="Times New Roman" w:eastAsia="宋体"/>
      <w:b/>
      <w:sz w:val="21"/>
    </w:rPr>
  </w:style>
  <w:style w:type="character" w:customStyle="1" w:styleId="45">
    <w:name w:val="批注主题 Char"/>
    <w:basedOn w:val="41"/>
    <w:link w:val="30"/>
    <w:qFormat/>
    <w:uiPriority w:val="0"/>
    <w:rPr>
      <w:b/>
      <w:bCs/>
      <w:kern w:val="2"/>
      <w:sz w:val="24"/>
      <w:szCs w:val="24"/>
    </w:rPr>
  </w:style>
  <w:style w:type="character" w:customStyle="1" w:styleId="46">
    <w:name w:val="批注框文本 Char"/>
    <w:basedOn w:val="35"/>
    <w:link w:val="20"/>
    <w:qFormat/>
    <w:uiPriority w:val="0"/>
    <w:rPr>
      <w:kern w:val="2"/>
      <w:sz w:val="18"/>
      <w:szCs w:val="18"/>
    </w:rPr>
  </w:style>
  <w:style w:type="character" w:customStyle="1" w:styleId="47">
    <w:name w:val="标题 2 Char"/>
    <w:link w:val="3"/>
    <w:qFormat/>
    <w:uiPriority w:val="0"/>
    <w:rPr>
      <w:rFonts w:hint="eastAsia" w:ascii="宋体" w:hAnsi="宋体"/>
      <w:b/>
      <w:kern w:val="0"/>
      <w:sz w:val="36"/>
      <w:szCs w:val="36"/>
    </w:rPr>
  </w:style>
  <w:style w:type="paragraph" w:customStyle="1" w:styleId="48">
    <w:name w:val="表格内文字"/>
    <w:basedOn w:val="1"/>
    <w:link w:val="65"/>
    <w:autoRedefine/>
    <w:qFormat/>
    <w:uiPriority w:val="0"/>
    <w:pPr>
      <w:adjustRightInd w:val="0"/>
      <w:snapToGrid w:val="0"/>
      <w:spacing w:line="240" w:lineRule="auto"/>
      <w:ind w:firstLine="0" w:firstLineChars="0"/>
      <w:jc w:val="center"/>
    </w:pPr>
    <w:rPr>
      <w:kern w:val="0"/>
      <w:sz w:val="21"/>
    </w:rPr>
  </w:style>
  <w:style w:type="paragraph" w:customStyle="1" w:styleId="49">
    <w:name w:val="第一章表头"/>
    <w:basedOn w:val="1"/>
    <w:next w:val="1"/>
    <w:autoRedefine/>
    <w:qFormat/>
    <w:uiPriority w:val="0"/>
    <w:pPr>
      <w:keepNext/>
      <w:keepLines/>
      <w:numPr>
        <w:ilvl w:val="0"/>
        <w:numId w:val="7"/>
      </w:numPr>
      <w:spacing w:line="240" w:lineRule="auto"/>
      <w:jc w:val="center"/>
      <w:textAlignment w:val="baseline"/>
      <w:outlineLvl w:val="3"/>
    </w:pPr>
    <w:rPr>
      <w:b/>
      <w:kern w:val="0"/>
    </w:rPr>
  </w:style>
  <w:style w:type="paragraph" w:customStyle="1" w:styleId="50">
    <w:name w:val="第二章表头"/>
    <w:basedOn w:val="51"/>
    <w:next w:val="1"/>
    <w:autoRedefine/>
    <w:qFormat/>
    <w:uiPriority w:val="0"/>
    <w:pPr>
      <w:numPr>
        <w:numId w:val="8"/>
      </w:numPr>
      <w:tabs>
        <w:tab w:val="left" w:pos="0"/>
        <w:tab w:val="left" w:pos="420"/>
      </w:tabs>
      <w:ind w:firstLineChars="0"/>
    </w:pPr>
    <w:rPr>
      <w:szCs w:val="22"/>
    </w:rPr>
  </w:style>
  <w:style w:type="paragraph" w:customStyle="1" w:styleId="51">
    <w:name w:val="第三章表头"/>
    <w:basedOn w:val="1"/>
    <w:autoRedefine/>
    <w:qFormat/>
    <w:uiPriority w:val="0"/>
    <w:pPr>
      <w:numPr>
        <w:ilvl w:val="0"/>
        <w:numId w:val="9"/>
      </w:numPr>
      <w:spacing w:before="50" w:beforeLines="50" w:line="240" w:lineRule="auto"/>
      <w:jc w:val="center"/>
    </w:pPr>
    <w:rPr>
      <w:b/>
      <w:color w:val="000000"/>
      <w:szCs w:val="20"/>
    </w:rPr>
  </w:style>
  <w:style w:type="paragraph" w:customStyle="1" w:styleId="52">
    <w:name w:val="第四章表头"/>
    <w:basedOn w:val="1"/>
    <w:next w:val="1"/>
    <w:autoRedefine/>
    <w:qFormat/>
    <w:uiPriority w:val="0"/>
    <w:pPr>
      <w:numPr>
        <w:ilvl w:val="0"/>
        <w:numId w:val="10"/>
      </w:numPr>
      <w:tabs>
        <w:tab w:val="left" w:pos="0"/>
      </w:tabs>
      <w:autoSpaceDE w:val="0"/>
      <w:autoSpaceDN w:val="0"/>
      <w:adjustRightInd w:val="0"/>
      <w:snapToGrid w:val="0"/>
      <w:spacing w:line="240" w:lineRule="auto"/>
      <w:ind w:hanging="5518" w:firstLineChars="0"/>
      <w:jc w:val="center"/>
    </w:pPr>
    <w:rPr>
      <w:rFonts w:hint="eastAsia"/>
      <w:b/>
    </w:rPr>
  </w:style>
  <w:style w:type="paragraph" w:customStyle="1" w:styleId="53">
    <w:name w:val="Table Text"/>
    <w:basedOn w:val="1"/>
    <w:semiHidden/>
    <w:qFormat/>
    <w:uiPriority w:val="0"/>
    <w:rPr>
      <w:rFonts w:ascii="宋体" w:hAnsi="宋体" w:cs="宋体"/>
      <w:sz w:val="21"/>
      <w:szCs w:val="21"/>
      <w:lang w:eastAsia="en-US"/>
    </w:rPr>
  </w:style>
  <w:style w:type="table" w:customStyle="1" w:styleId="54">
    <w:name w:val="Table Normal"/>
    <w:semiHidden/>
    <w:unhideWhenUsed/>
    <w:qFormat/>
    <w:uiPriority w:val="0"/>
    <w:tblPr>
      <w:tblCellMar>
        <w:top w:w="0" w:type="dxa"/>
        <w:left w:w="0" w:type="dxa"/>
        <w:bottom w:w="0" w:type="dxa"/>
        <w:right w:w="0" w:type="dxa"/>
      </w:tblCellMar>
    </w:tblPr>
  </w:style>
  <w:style w:type="paragraph" w:customStyle="1" w:styleId="55">
    <w:name w:val="表头加粗"/>
    <w:basedOn w:val="1"/>
    <w:autoRedefine/>
    <w:qFormat/>
    <w:uiPriority w:val="0"/>
    <w:pPr>
      <w:wordWrap w:val="0"/>
      <w:snapToGrid w:val="0"/>
      <w:spacing w:line="240" w:lineRule="auto"/>
      <w:ind w:firstLine="0" w:firstLineChars="0"/>
      <w:jc w:val="center"/>
    </w:pPr>
    <w:rPr>
      <w:rFonts w:ascii="Times New Roman" w:hAnsi="Times New Roman" w:eastAsia="宋体"/>
      <w:b/>
      <w:bCs/>
      <w:color w:val="000000"/>
      <w:kern w:val="0"/>
      <w:sz w:val="24"/>
    </w:rPr>
  </w:style>
  <w:style w:type="paragraph" w:customStyle="1" w:styleId="56">
    <w:name w:val="表格内容"/>
    <w:basedOn w:val="25"/>
    <w:qFormat/>
    <w:uiPriority w:val="0"/>
    <w:pPr>
      <w:spacing w:line="240" w:lineRule="auto"/>
      <w:ind w:firstLine="0" w:firstLineChars="0"/>
    </w:pPr>
    <w:rPr>
      <w:rFonts w:ascii="Times New Roman"/>
      <w:sz w:val="21"/>
      <w:szCs w:val="20"/>
    </w:rPr>
  </w:style>
  <w:style w:type="paragraph" w:customStyle="1" w:styleId="57">
    <w:name w:val="表格"/>
    <w:next w:val="1"/>
    <w:qFormat/>
    <w:uiPriority w:val="0"/>
    <w:pPr>
      <w:spacing w:before="40" w:after="40"/>
      <w:jc w:val="center"/>
      <w:textAlignment w:val="center"/>
    </w:pPr>
    <w:rPr>
      <w:rFonts w:ascii="Times New Roman" w:hAnsi="Times New Roman" w:eastAsia="宋体" w:cs="Times New Roman"/>
      <w:sz w:val="21"/>
      <w:lang w:val="en-US" w:eastAsia="zh-CN" w:bidi="ar-SA"/>
    </w:rPr>
  </w:style>
  <w:style w:type="paragraph" w:customStyle="1" w:styleId="58">
    <w:name w:val="缩进正文"/>
    <w:basedOn w:val="1"/>
    <w:next w:val="12"/>
    <w:qFormat/>
    <w:uiPriority w:val="0"/>
    <w:pPr>
      <w:spacing w:line="360" w:lineRule="auto"/>
    </w:pPr>
  </w:style>
  <w:style w:type="character" w:customStyle="1" w:styleId="59">
    <w:name w:val="正文文本 字符1"/>
    <w:semiHidden/>
    <w:qFormat/>
    <w:uiPriority w:val="0"/>
    <w:rPr>
      <w:rFonts w:ascii="Times New Roman" w:hAnsi="Times New Roman" w:eastAsia="宋体"/>
      <w:sz w:val="24"/>
    </w:rPr>
  </w:style>
  <w:style w:type="paragraph" w:customStyle="1" w:styleId="60">
    <w:name w:val="Default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1">
    <w:name w:val="表1"/>
    <w:basedOn w:val="1"/>
    <w:next w:val="1"/>
    <w:qFormat/>
    <w:uiPriority w:val="0"/>
    <w:pPr>
      <w:numPr>
        <w:ilvl w:val="4"/>
        <w:numId w:val="11"/>
      </w:numPr>
      <w:tabs>
        <w:tab w:val="left" w:pos="911"/>
      </w:tabs>
      <w:snapToGrid w:val="0"/>
      <w:spacing w:line="240" w:lineRule="auto"/>
      <w:ind w:left="0" w:right="0" w:firstLine="0"/>
      <w:jc w:val="center"/>
    </w:pPr>
    <w:rPr>
      <w:rFonts w:ascii="Times New Roman" w:hAnsi="Times New Roman" w:eastAsia="宋体" w:cs="宋体"/>
      <w:b/>
      <w:sz w:val="24"/>
      <w:szCs w:val="21"/>
    </w:rPr>
  </w:style>
  <w:style w:type="character" w:customStyle="1" w:styleId="62">
    <w:name w:val="font11"/>
    <w:basedOn w:val="35"/>
    <w:qFormat/>
    <w:uiPriority w:val="0"/>
    <w:rPr>
      <w:rFonts w:hint="eastAsia" w:ascii="宋体" w:hAnsi="宋体" w:eastAsia="宋体" w:cs="宋体"/>
      <w:color w:val="000000"/>
      <w:sz w:val="21"/>
      <w:szCs w:val="21"/>
      <w:u w:val="none"/>
    </w:rPr>
  </w:style>
  <w:style w:type="character" w:customStyle="1" w:styleId="63">
    <w:name w:val="font21"/>
    <w:basedOn w:val="35"/>
    <w:qFormat/>
    <w:uiPriority w:val="0"/>
    <w:rPr>
      <w:rFonts w:ascii="微软雅黑" w:hAnsi="微软雅黑" w:eastAsia="微软雅黑" w:cs="微软雅黑"/>
      <w:color w:val="000000"/>
      <w:sz w:val="22"/>
      <w:szCs w:val="22"/>
      <w:u w:val="none"/>
    </w:rPr>
  </w:style>
  <w:style w:type="character" w:customStyle="1" w:styleId="64">
    <w:name w:val="font41"/>
    <w:basedOn w:val="35"/>
    <w:qFormat/>
    <w:uiPriority w:val="0"/>
    <w:rPr>
      <w:rFonts w:ascii="微软雅黑" w:hAnsi="微软雅黑" w:eastAsia="微软雅黑" w:cs="微软雅黑"/>
      <w:color w:val="000000"/>
      <w:sz w:val="22"/>
      <w:szCs w:val="22"/>
      <w:u w:val="none"/>
    </w:rPr>
  </w:style>
  <w:style w:type="character" w:customStyle="1" w:styleId="65">
    <w:name w:val="表格内文字 Char"/>
    <w:link w:val="48"/>
    <w:qFormat/>
    <w:uiPriority w:val="0"/>
    <w:rPr>
      <w:kern w:val="0"/>
      <w:sz w:val="21"/>
    </w:rPr>
  </w:style>
  <w:style w:type="character" w:customStyle="1" w:styleId="66">
    <w:name w:val="font51"/>
    <w:basedOn w:val="35"/>
    <w:qFormat/>
    <w:uiPriority w:val="0"/>
    <w:rPr>
      <w:rFonts w:ascii="微软雅黑" w:hAnsi="微软雅黑" w:eastAsia="微软雅黑" w:cs="微软雅黑"/>
      <w:color w:val="000000"/>
      <w:sz w:val="22"/>
      <w:szCs w:val="22"/>
      <w:u w:val="none"/>
    </w:rPr>
  </w:style>
  <w:style w:type="character" w:customStyle="1" w:styleId="67">
    <w:name w:val="font01"/>
    <w:basedOn w:val="35"/>
    <w:qFormat/>
    <w:uiPriority w:val="0"/>
    <w:rPr>
      <w:rFonts w:hint="eastAsia" w:ascii="宋体" w:hAnsi="宋体" w:eastAsia="宋体" w:cs="宋体"/>
      <w:color w:val="000000"/>
      <w:sz w:val="22"/>
      <w:szCs w:val="22"/>
      <w:u w:val="none"/>
    </w:rPr>
  </w:style>
  <w:style w:type="paragraph" w:customStyle="1" w:styleId="68">
    <w:name w:val="正文 首行缩进:  2 字符"/>
    <w:basedOn w:val="1"/>
    <w:autoRedefine/>
    <w:qFormat/>
    <w:uiPriority w:val="99"/>
    <w:pPr>
      <w:ind w:firstLine="579" w:firstLineChars="200"/>
    </w:pPr>
    <w:rPr>
      <w:rFonts w:eastAsia="等线" w:cs="宋体"/>
      <w:szCs w:val="20"/>
    </w:rPr>
  </w:style>
  <w:style w:type="paragraph" w:customStyle="1" w:styleId="69">
    <w:name w:val="Heading3"/>
    <w:basedOn w:val="1"/>
    <w:next w:val="1"/>
    <w:qFormat/>
    <w:uiPriority w:val="0"/>
    <w:pPr>
      <w:keepNext/>
      <w:keepLines/>
      <w:ind w:firstLineChars="0"/>
      <w:jc w:val="left"/>
      <w:textAlignment w:val="baseline"/>
    </w:pPr>
    <w:rPr>
      <w:rFonts w:ascii="Calibri" w:hAnsi="Calibri" w:cs="Times New Roman"/>
      <w:b/>
      <w:bCs/>
      <w:kern w:val="2"/>
      <w:sz w:val="28"/>
      <w:szCs w:val="32"/>
      <w:lang w:val="en-US" w:eastAsia="zh-CN" w:bidi="ar-SA"/>
    </w:rPr>
  </w:style>
  <w:style w:type="paragraph" w:styleId="70">
    <w:name w:val="List Paragraph"/>
    <w:basedOn w:val="1"/>
    <w:qFormat/>
    <w:uiPriority w:val="0"/>
    <w:pPr>
      <w:ind w:left="720"/>
      <w:contextualSpacing/>
    </w:pPr>
  </w:style>
  <w:style w:type="paragraph" w:customStyle="1" w:styleId="71">
    <w:name w:val="列出段落2"/>
    <w:basedOn w:val="1"/>
    <w:qFormat/>
    <w:uiPriority w:val="34"/>
    <w:pPr>
      <w:ind w:firstLine="420" w:firstLineChars="200"/>
    </w:pPr>
    <w:rPr>
      <w:rFonts w:ascii="Calibri" w:hAnsi="Calibri"/>
    </w:rPr>
  </w:style>
  <w:style w:type="paragraph" w:customStyle="1" w:styleId="7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3">
    <w:name w:val="01正文"/>
    <w:basedOn w:val="1"/>
    <w:qFormat/>
    <w:uiPriority w:val="0"/>
    <w:pPr>
      <w:autoSpaceDE w:val="0"/>
      <w:autoSpaceDN w:val="0"/>
      <w:adjustRightInd w:val="0"/>
      <w:snapToGrid w:val="0"/>
      <w:spacing w:line="360" w:lineRule="auto"/>
      <w:ind w:firstLine="480" w:firstLineChars="200"/>
    </w:pPr>
    <w:rPr>
      <w:sz w:val="24"/>
      <w:lang w:val="zh-CN"/>
    </w:rPr>
  </w:style>
  <w:style w:type="character" w:customStyle="1" w:styleId="74">
    <w:name w:val="font31"/>
    <w:basedOn w:val="35"/>
    <w:qFormat/>
    <w:uiPriority w:val="0"/>
    <w:rPr>
      <w:rFonts w:hint="eastAsia" w:ascii="宋体" w:hAnsi="宋体" w:eastAsia="宋体" w:cs="宋体"/>
      <w:color w:val="FF0000"/>
      <w:sz w:val="22"/>
      <w:szCs w:val="22"/>
      <w:u w:val="none"/>
    </w:rPr>
  </w:style>
  <w:style w:type="character" w:customStyle="1" w:styleId="75">
    <w:name w:val="font61"/>
    <w:basedOn w:val="35"/>
    <w:qFormat/>
    <w:uiPriority w:val="0"/>
    <w:rPr>
      <w:rFonts w:hint="eastAsia" w:ascii="宋体" w:hAnsi="宋体" w:eastAsia="宋体" w:cs="宋体"/>
      <w:color w:val="000000"/>
      <w:sz w:val="22"/>
      <w:szCs w:val="22"/>
      <w:u w:val="none"/>
    </w:rPr>
  </w:style>
  <w:style w:type="paragraph" w:customStyle="1" w:styleId="76">
    <w:name w:val="7表格(壹澜)"/>
    <w:qFormat/>
    <w:uiPriority w:val="0"/>
    <w:pPr>
      <w:widowControl w:val="0"/>
      <w:jc w:val="center"/>
    </w:pPr>
    <w:rPr>
      <w:rFonts w:ascii="Times New Roman" w:hAnsi="Times New Roman" w:eastAsia="楷体_GB2312" w:cs="Times New Roman"/>
      <w:sz w:val="21"/>
      <w:szCs w:val="21"/>
      <w:lang w:val="en-US" w:eastAsia="zh-CN" w:bidi="ar-SA"/>
    </w:rPr>
  </w:style>
  <w:style w:type="paragraph" w:customStyle="1" w:styleId="77">
    <w:name w:val="5文章(治)"/>
    <w:basedOn w:val="1"/>
    <w:qFormat/>
    <w:uiPriority w:val="0"/>
    <w:pPr>
      <w:spacing w:line="360" w:lineRule="auto"/>
      <w:ind w:firstLine="560"/>
    </w:pPr>
    <w:rPr>
      <w:rFonts w:ascii="Times New Roman" w:hAnsi="Times New Roman" w:eastAsia="宋体"/>
      <w:sz w:val="24"/>
    </w:rPr>
  </w:style>
  <w:style w:type="paragraph" w:customStyle="1" w:styleId="78">
    <w:name w:val="List Paragraph2"/>
    <w:basedOn w:val="1"/>
    <w:qFormat/>
    <w:uiPriority w:val="0"/>
    <w:pPr>
      <w:ind w:firstLine="420" w:firstLineChars="200"/>
    </w:pPr>
  </w:style>
  <w:style w:type="paragraph" w:customStyle="1" w:styleId="79">
    <w:name w:val="表头、图名"/>
    <w:basedOn w:val="1"/>
    <w:autoRedefine/>
    <w:qFormat/>
    <w:uiPriority w:val="0"/>
    <w:pPr>
      <w:tabs>
        <w:tab w:val="left" w:pos="600"/>
      </w:tabs>
      <w:adjustRightInd w:val="0"/>
      <w:snapToGrid w:val="0"/>
      <w:spacing w:line="240" w:lineRule="auto"/>
      <w:ind w:firstLine="0" w:firstLineChars="0"/>
      <w:jc w:val="center"/>
    </w:pPr>
    <w:rPr>
      <w:rFonts w:ascii="Times New Roman" w:hAnsi="Times New Roman" w:eastAsia="宋体"/>
      <w:b/>
      <w:kern w:val="0"/>
      <w:sz w:val="21"/>
    </w:rPr>
  </w:style>
  <w:style w:type="paragraph" w:customStyle="1" w:styleId="80">
    <w:name w:val="Table Paragraph"/>
    <w:basedOn w:val="1"/>
    <w:qFormat/>
    <w:uiPriority w:val="1"/>
    <w:pPr>
      <w:jc w:val="center"/>
    </w:pPr>
    <w:rPr>
      <w:rFonts w:eastAsia="Times New Roman"/>
    </w:rPr>
  </w:style>
  <w:style w:type="table" w:customStyle="1" w:styleId="81">
    <w:name w:val="三线表2"/>
    <w:basedOn w:val="33"/>
    <w:qFormat/>
    <w:uiPriority w:val="99"/>
    <w:pPr>
      <w:jc w:val="center"/>
    </w:pPr>
    <w:rPr>
      <w:rFonts w:asciiTheme="minorHAnsi" w:hAnsiTheme="minorHAnsi" w:cstheme="minorBidi"/>
      <w:kern w:val="2"/>
      <w:sz w:val="21"/>
      <w:szCs w:val="22"/>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82">
    <w:name w:val="A表格文字（Alt+C）"/>
    <w:basedOn w:val="1"/>
    <w:autoRedefine/>
    <w:qFormat/>
    <w:uiPriority w:val="0"/>
    <w:pPr>
      <w:jc w:val="center"/>
    </w:pPr>
    <w:rPr>
      <w:rFonts w:hint="eastAsia"/>
    </w:rPr>
  </w:style>
  <w:style w:type="paragraph" w:customStyle="1" w:styleId="83">
    <w:name w:val="列出段落1"/>
    <w:basedOn w:val="1"/>
    <w:autoRedefine/>
    <w:qFormat/>
    <w:uiPriority w:val="0"/>
    <w:pPr>
      <w:ind w:firstLine="420" w:firstLineChars="200"/>
    </w:pPr>
  </w:style>
  <w:style w:type="character" w:customStyle="1" w:styleId="84">
    <w:name w:val="font71"/>
    <w:basedOn w:val="35"/>
    <w:qFormat/>
    <w:uiPriority w:val="0"/>
    <w:rPr>
      <w:rFonts w:hint="default" w:ascii="Times New Roman" w:hAnsi="Times New Roman" w:cs="Times New Roman"/>
      <w:color w:val="000000"/>
      <w:sz w:val="22"/>
      <w:szCs w:val="22"/>
      <w:u w:val="none"/>
    </w:rPr>
  </w:style>
  <w:style w:type="character" w:customStyle="1" w:styleId="85">
    <w:name w:val="font111"/>
    <w:basedOn w:val="35"/>
    <w:qFormat/>
    <w:uiPriority w:val="0"/>
    <w:rPr>
      <w:rFonts w:hint="default" w:ascii="Times New Roman" w:hAnsi="Times New Roman" w:cs="Times New Roman"/>
      <w:b/>
      <w:bCs/>
      <w:color w:val="000000"/>
      <w:sz w:val="21"/>
      <w:szCs w:val="21"/>
      <w:u w:val="none"/>
    </w:rPr>
  </w:style>
  <w:style w:type="character" w:customStyle="1" w:styleId="86">
    <w:name w:val="font91"/>
    <w:basedOn w:val="35"/>
    <w:qFormat/>
    <w:uiPriority w:val="0"/>
    <w:rPr>
      <w:rFonts w:hint="default" w:ascii="Times New Roman" w:hAnsi="Times New Roman" w:cs="Times New Roman"/>
      <w:color w:val="000000"/>
      <w:sz w:val="21"/>
      <w:szCs w:val="21"/>
      <w:u w:val="none"/>
    </w:rPr>
  </w:style>
  <w:style w:type="character" w:customStyle="1" w:styleId="87">
    <w:name w:val="font81"/>
    <w:basedOn w:val="35"/>
    <w:qFormat/>
    <w:uiPriority w:val="0"/>
    <w:rPr>
      <w:rFonts w:hint="eastAsia" w:ascii="宋体" w:hAnsi="宋体" w:eastAsia="宋体" w:cs="宋体"/>
      <w:color w:val="0000FF"/>
      <w:sz w:val="21"/>
      <w:szCs w:val="21"/>
      <w:u w:val="none"/>
    </w:rPr>
  </w:style>
  <w:style w:type="character" w:customStyle="1" w:styleId="88">
    <w:name w:val="font122"/>
    <w:basedOn w:val="35"/>
    <w:qFormat/>
    <w:uiPriority w:val="0"/>
    <w:rPr>
      <w:rFonts w:hint="default" w:ascii="Times New Roman" w:hAnsi="Times New Roman" w:cs="Times New Roman"/>
      <w:color w:val="000000"/>
      <w:sz w:val="24"/>
      <w:szCs w:val="24"/>
      <w:u w:val="none"/>
    </w:rPr>
  </w:style>
  <w:style w:type="character" w:customStyle="1" w:styleId="89">
    <w:name w:val="font131"/>
    <w:basedOn w:val="35"/>
    <w:qFormat/>
    <w:uiPriority w:val="0"/>
    <w:rPr>
      <w:rFonts w:hint="eastAsia" w:ascii="宋体" w:hAnsi="宋体" w:eastAsia="宋体" w:cs="宋体"/>
      <w:color w:val="0000FF"/>
      <w:sz w:val="24"/>
      <w:szCs w:val="24"/>
      <w:u w:val="none"/>
    </w:rPr>
  </w:style>
  <w:style w:type="character" w:customStyle="1" w:styleId="90">
    <w:name w:val="font141"/>
    <w:basedOn w:val="35"/>
    <w:qFormat/>
    <w:uiPriority w:val="0"/>
    <w:rPr>
      <w:rFonts w:hint="default" w:ascii="Times New Roman" w:hAnsi="Times New Roman" w:cs="Times New Roman"/>
      <w:color w:val="000000"/>
      <w:sz w:val="21"/>
      <w:szCs w:val="21"/>
      <w:u w:val="none"/>
    </w:rPr>
  </w:style>
  <w:style w:type="paragraph" w:customStyle="1" w:styleId="91">
    <w:name w:val="表内文字"/>
    <w:basedOn w:val="1"/>
    <w:autoRedefine/>
    <w:qFormat/>
    <w:uiPriority w:val="0"/>
    <w:pPr>
      <w:spacing w:line="240" w:lineRule="exact"/>
      <w:ind w:firstLine="0" w:firstLineChars="0"/>
      <w:jc w:val="center"/>
    </w:pPr>
    <w:rPr>
      <w:rFonts w:ascii="Times New Roman" w:hAnsi="Times New Roman" w:eastAsia="宋体" w:cs="Times New Roman"/>
      <w:sz w:val="21"/>
    </w:rPr>
  </w:style>
  <w:style w:type="paragraph" w:customStyle="1" w:styleId="92">
    <w:name w:val="图二"/>
    <w:basedOn w:val="1"/>
    <w:autoRedefine/>
    <w:qFormat/>
    <w:uiPriority w:val="0"/>
    <w:pPr>
      <w:numPr>
        <w:ilvl w:val="0"/>
        <w:numId w:val="12"/>
      </w:numPr>
      <w:tabs>
        <w:tab w:val="left" w:pos="0"/>
        <w:tab w:val="clear" w:pos="420"/>
      </w:tabs>
      <w:spacing w:line="240" w:lineRule="auto"/>
      <w:ind w:left="0" w:firstLine="0"/>
      <w:jc w:val="center"/>
    </w:pPr>
    <w:rPr>
      <w:rFonts w:ascii="Times New Roman" w:hAnsi="Times New Roman" w:eastAsia="宋体" w:cs="宋体"/>
      <w:b/>
      <w:szCs w:val="22"/>
      <w:lang w:val="zh-CN" w:bidi="zh-CN"/>
    </w:rPr>
  </w:style>
  <w:style w:type="paragraph" w:customStyle="1" w:styleId="93">
    <w:name w:val="报告书正文"/>
    <w:basedOn w:val="1"/>
    <w:qFormat/>
    <w:uiPriority w:val="0"/>
    <w:pPr>
      <w:spacing w:line="360" w:lineRule="auto"/>
      <w:ind w:firstLine="48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5" Type="http://schemas.openxmlformats.org/officeDocument/2006/relationships/fontTable" Target="fontTable.xml"/><Relationship Id="rId44" Type="http://schemas.openxmlformats.org/officeDocument/2006/relationships/customXml" Target="../customXml/item8.xml"/><Relationship Id="rId43" Type="http://schemas.openxmlformats.org/officeDocument/2006/relationships/customXml" Target="../customXml/item7.xml"/><Relationship Id="rId42" Type="http://schemas.openxmlformats.org/officeDocument/2006/relationships/customXml" Target="../customXml/item6.xml"/><Relationship Id="rId41" Type="http://schemas.openxmlformats.org/officeDocument/2006/relationships/customXml" Target="../customXml/item5.xml"/><Relationship Id="rId40" Type="http://schemas.openxmlformats.org/officeDocument/2006/relationships/customXml" Target="../customXml/item4.xml"/><Relationship Id="rId4" Type="http://schemas.openxmlformats.org/officeDocument/2006/relationships/endnotes" Target="endnotes.xml"/><Relationship Id="rId39" Type="http://schemas.openxmlformats.org/officeDocument/2006/relationships/customXml" Target="../customXml/item3.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1.wmf"/><Relationship Id="rId34" Type="http://schemas.openxmlformats.org/officeDocument/2006/relationships/image" Target="media/image20.wmf"/><Relationship Id="rId33" Type="http://schemas.openxmlformats.org/officeDocument/2006/relationships/oleObject" Target="embeddings/oleObject4.bin"/><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emf"/><Relationship Id="rId23" Type="http://schemas.openxmlformats.org/officeDocument/2006/relationships/oleObject" Target="embeddings/oleObject3.bin"/><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7.emf"/><Relationship Id="rId17" Type="http://schemas.openxmlformats.org/officeDocument/2006/relationships/oleObject" Target="embeddings/oleObject1.bin"/><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acd19e43-c97c-4eeb-b06b-8d31ee9af048</errorID>
      <errorWord>度</errorWord>
      <group>L1_Word</group>
      <groupName>字词问题</groupName>
      <ability>L2_Typo</ability>
      <abilityName>字词错误</abilityName>
      <candidateList>
        <item>°</item>
      </candidateList>
      <explain/>
      <paraID>41C3858F</paraID>
      <start>4</start>
      <end>5</end>
      <status>ignored</status>
      <modifiedWord/>
      <trackRevisions>false</trackRevisions>
    </reviewItem>
    <reviewItem>
      <errorID>b9305059-1ffa-4530-9a8f-b047e30fa48a</errorID>
      <errorWord>分</errorWord>
      <group>L1_Word</group>
      <groupName>字词问题</groupName>
      <ability>L2_Typo</ability>
      <abilityName>字词错误</abilityName>
      <candidateList>
        <item>′</item>
      </candidateList>
      <explain/>
      <paraID>41C3858F</paraID>
      <start>7</start>
      <end>8</end>
      <status>ignored</status>
      <modifiedWord/>
      <trackRevisions>false</trackRevisions>
    </reviewItem>
    <reviewItem>
      <errorID>68335788-067b-4636-aaa2-8f0894046bd8</errorID>
      <errorWord>度</errorWord>
      <group>L1_Word</group>
      <groupName>字词问题</groupName>
      <ability>L2_Typo</ability>
      <abilityName>字词错误</abilityName>
      <candidateList>
        <item>°</item>
      </candidateList>
      <explain/>
      <paraID>41C3858F</paraID>
      <start>17</start>
      <end>18</end>
      <status>ignored</status>
      <modifiedWord/>
      <trackRevisions>false</trackRevisions>
    </reviewItem>
    <reviewItem>
      <errorID>ecab8064-3c6c-4419-a984-42a5126ae04f</errorID>
      <errorWord>分</errorWord>
      <group>L1_Word</group>
      <groupName>字词问题</groupName>
      <ability>L2_Typo</ability>
      <abilityName>字词错误</abilityName>
      <candidateList>
        <item>′</item>
      </candidateList>
      <explain/>
      <paraID>41C3858F</paraID>
      <start>20</start>
      <end>21</end>
      <status>ignored</status>
      <modifiedWord/>
      <trackRevisions>false</trackRevisions>
    </reviewItem>
    <reviewItem>
      <errorID>9c474d27-e1ab-42ae-874a-e1cd3a496514</errorID>
      <errorWord>秒</errorWord>
      <group>L1_Word</group>
      <groupName>字词问题</groupName>
      <ability>L2_Typo</ability>
      <abilityName>字词错误</abilityName>
      <candidateList>
        <item>″</item>
      </candidateList>
      <explain/>
      <paraID>41C3858F</paraID>
      <start>26</start>
      <end>27</end>
      <status>ignored</status>
      <modifiedWord/>
      <trackRevisions>false</trackRevisions>
    </reviewItem>
    <reviewItem>
      <errorID>0256b650-63c0-4830-8cf2-b377cb77f89d</errorID>
      <errorWord>、</errorWord>
      <group>L1_Punc</group>
      <groupName>标点问题</groupName>
      <ability>L2_Punc_CN</ability>
      <abilityName>标点符号问题</abilityName>
      <candidateList>
        <item>. </item>
      </candidateList>
      <explain/>
      <paraID>39211A6C</paraID>
      <start>1</start>
      <end>2</end>
      <status>ignored</status>
      <modifiedWord/>
      <trackRevisions>false</trackRevisions>
    </reviewItem>
    <reviewItem>
      <errorID>f8bb4656-4274-434f-b0f8-cf72b599dae8</errorID>
      <errorWord>国家发展和改革委</errorWord>
      <group>L1_Political</group>
      <groupName>政治性问题</groupName>
      <ability>L2_Keyword</ability>
      <abilityName>固定表述</abilityName>
      <candidateList>
        <item>国家发展改革委</item>
      </candidateList>
      <explain>词汇“国家发展改革委”在特定场景下为固定表述形式，请确认此处的“国家发展和改革委”是否存在不当。</explain>
      <paraID>39211A6C</paraID>
      <start>11</start>
      <end>20</end>
      <status>ignored</status>
      <modifiedWord/>
      <trackRevisions>false</trackRevisions>
    </reviewItem>
    <reviewItem>
      <errorID>a8349e57-498c-4858-a76a-4abc6b94289d</errorID>
      <errorWord>、</errorWord>
      <group>L1_Punc</group>
      <groupName>标点问题</groupName>
      <ability>L2_Punc_CN</ability>
      <abilityName>标点符号问题</abilityName>
      <candidateList>
        <item>. </item>
      </candidateList>
      <explain/>
      <paraID>17AAF366</paraID>
      <start>1</start>
      <end>2</end>
      <status>ignored</status>
      <modifiedWord/>
      <trackRevisions>false</trackRevisions>
    </reviewItem>
    <reviewItem>
      <errorID>151004c6-3da3-4bcd-9bb3-9a2fba392816</errorID>
      <errorWord>、</errorWord>
      <group>L1_Punc</group>
      <groupName>标点问题</groupName>
      <ability>L2_Punc_CN</ability>
      <abilityName>标点符号问题</abilityName>
      <candidateList>
        <item>. </item>
      </candidateList>
      <explain/>
      <paraID>7F67A315</paraID>
      <start>1</start>
      <end>2</end>
      <status>ignored</status>
      <modifiedWord/>
      <trackRevisions>false</trackRevisions>
    </reviewItem>
    <reviewItem>
      <errorID>094eac1a-d873-4164-8497-ff5ec5830a7b</errorID>
      <errorWord>、</errorWord>
      <group>L1_Punc</group>
      <groupName>标点问题</groupName>
      <ability>L2_Punc_CN</ability>
      <abilityName>标点符号问题</abilityName>
      <candidateList>
        <item>. </item>
      </candidateList>
      <explain/>
      <paraID>5B8D2F15</paraID>
      <start>1</start>
      <end>2</end>
      <status>ignored</status>
      <modifiedWord/>
      <trackRevisions>false</trackRevisions>
    </reviewItem>
    <reviewItem>
      <errorID>55bbfe41-ef24-408a-9f76-5fd542f38a00</errorID>
      <errorWord>、</errorWord>
      <group>L1_Punc</group>
      <groupName>标点问题</groupName>
      <ability>L2_Punc_CN</ability>
      <abilityName>标点符号问题</abilityName>
      <candidateList>
        <item>. </item>
      </candidateList>
      <explain/>
      <paraID>63C0DF6B</paraID>
      <start>1</start>
      <end>2</end>
      <status>ignored</status>
      <modifiedWord/>
      <trackRevisions>false</trackRevisions>
    </reviewItem>
    <reviewItem>
      <errorID>8a3b0ae8-ea77-4794-85e7-29f450e2537e</errorID>
      <errorWord>、</errorWord>
      <group>L1_Punc</group>
      <groupName>标点问题</groupName>
      <ability>L2_Punc_CN</ability>
      <abilityName>标点符号问题</abilityName>
      <candidateList>
        <item>. </item>
      </candidateList>
      <explain/>
      <paraID>3D385A92</paraID>
      <start>1</start>
      <end>2</end>
      <status>ignored</status>
      <modifiedWord/>
      <trackRevisions>false</trackRevisions>
    </reviewItem>
    <reviewItem>
      <errorID>323f1626-b20c-4e55-be17-6e8f56cdf223</errorID>
      <errorWord>、</errorWord>
      <group>L1_Punc</group>
      <groupName>标点问题</groupName>
      <ability>L2_Punc_CN</ability>
      <abilityName>标点符号问题</abilityName>
      <candidateList>
        <item>. </item>
      </candidateList>
      <explain/>
      <paraID>154AA886</paraID>
      <start>1</start>
      <end>2</end>
      <status>ignored</status>
      <modifiedWord/>
      <trackRevisions>false</trackRevisions>
    </reviewItem>
    <reviewItem>
      <errorID>305d8e57-fa86-4431-a860-81318d72f961</errorID>
      <errorWord>、</errorWord>
      <group>L1_Punc</group>
      <groupName>标点问题</groupName>
      <ability>L2_Punc_CN</ability>
      <abilityName>标点符号问题</abilityName>
      <candidateList>
        <item>. </item>
      </candidateList>
      <explain/>
      <paraID>15047512</paraID>
      <start>1</start>
      <end>2</end>
      <status>ignored</status>
      <modifiedWord/>
      <trackRevisions>false</trackRevisions>
    </reviewItem>
    <reviewItem>
      <errorID>a53b7593-8dbd-4d52-9740-9ca2385e826b</errorID>
      <errorWord>、</errorWord>
      <group>L1_Punc</group>
      <groupName>标点问题</groupName>
      <ability>L2_Punc_CN</ability>
      <abilityName>标点符号问题</abilityName>
      <candidateList>
        <item>. </item>
      </candidateList>
      <explain/>
      <paraID>5227B859</paraID>
      <start>1</start>
      <end>2</end>
      <status>ignored</status>
      <modifiedWord/>
      <trackRevisions>false</trackRevisions>
    </reviewItem>
    <reviewItem>
      <errorID>b6ea0786-286c-49d8-a755-d36e0673cbb2</errorID>
      <errorWord>、</errorWord>
      <group>L1_Punc</group>
      <groupName>标点问题</groupName>
      <ability>L2_Punc_CN</ability>
      <abilityName>标点符号问题</abilityName>
      <candidateList>
        <item>. </item>
      </candidateList>
      <explain/>
      <paraID>1683A374</paraID>
      <start>1</start>
      <end>2</end>
      <status>ignored</status>
      <modifiedWord/>
      <trackRevisions>false</trackRevisions>
    </reviewItem>
    <reviewItem>
      <errorID>25752f4a-995d-4002-a486-a46c50bfaa1b</errorID>
      <errorWord>、</errorWord>
      <group>L1_Punc</group>
      <groupName>标点问题</groupName>
      <ability>L2_Punc_CN</ability>
      <abilityName>标点符号问题</abilityName>
      <candidateList>
        <item>. </item>
      </candidateList>
      <explain/>
      <paraID>3BF24F69</paraID>
      <start>1</start>
      <end>2</end>
      <status>ignored</status>
      <modifiedWord/>
      <trackRevisions>false</trackRevisions>
    </reviewItem>
    <reviewItem>
      <errorID>3b81bc40-82ca-4411-8e5e-46d9c1ee1ba2</errorID>
      <errorWord>SO2</errorWord>
      <group>L1_Word</group>
      <groupName>字词问题</groupName>
      <ability>L2_Typo</ability>
      <abilityName>字词错误</abilityName>
      <candidateList>
        <item>SO₂</item>
      </candidateList>
      <explain/>
      <paraID>76BB5FF2</paraID>
      <start>16</start>
      <end>19</end>
      <status>ignored</status>
      <modifiedWord/>
      <trackRevisions>false</trackRevisions>
    </reviewItem>
    <reviewItem>
      <errorID>3d7d4694-982f-4276-82ea-47a66e9d00a6</errorID>
      <errorWord>SO2</errorWord>
      <group>L1_Word</group>
      <groupName>字词问题</groupName>
      <ability>L2_Typo</ability>
      <abilityName>字词错误</abilityName>
      <candidateList>
        <item>SO₂</item>
      </candidateList>
      <explain/>
      <paraID>214BAA77</paraID>
      <start>16</start>
      <end>19</end>
      <status>ignored</status>
      <modifiedWord/>
      <trackRevisions>false</trackRevisions>
    </reviewItem>
    <reviewItem>
      <errorID>a8a046a4-8e10-4d26-9158-27a646274f4c</errorID>
      <errorWord>m3</errorWord>
      <group>L1_Word</group>
      <groupName>字词问题</groupName>
      <ability>L2_Typo</ability>
      <abilityName>字词错误</abilityName>
      <candidateList>
        <item>m³</item>
      </candidateList>
      <explain/>
      <paraID>13125384</paraID>
      <start>18</start>
      <end>20</end>
      <status>ignored</status>
      <modifiedWord/>
      <trackRevisions>false</trackRevisions>
    </reviewItem>
    <reviewItem>
      <errorID>3fc5ae73-c20f-476e-84a6-b5c698b6978e</errorID>
      <errorWord>生态红线</errorWord>
      <group>L1_Political</group>
      <groupName>政治性问题</groupName>
      <ability>L2_Unpolitical</ability>
      <abilityName>政治敏感错误</abilityName>
      <candidateList>
        <item>生态保护红线</item>
      </candidateList>
      <explain/>
      <paraID> DE18BD2</paraID>
      <start>37</start>
      <end>41</end>
      <status>ignored</status>
      <modifiedWord/>
      <trackRevisions>false</trackRevisions>
    </reviewItem>
    <reviewItem>
      <errorID>568ab509-c5e7-4a67-9cc2-62530484ac96</errorID>
      <errorWord>。</errorWord>
      <group>L1_Grammar</group>
      <groupName>语法问题</groupName>
      <ability>L2_Grammar</ability>
      <abilityName>语法错误</abilityName>
      <candidateList>
        <item>的要求。</item>
      </candidateList>
      <explain/>
      <paraID>20E68A5E</paraID>
      <start>83</start>
      <end>84</end>
      <status>ignored</status>
      <modifiedWord/>
      <trackRevisions>false</trackRevisions>
    </reviewItem>
    <reviewItem>
      <errorID>e33a95e5-422d-43d1-931e-404964cbaeb0</errorID>
      <errorWord>，</errorWord>
      <group>L1_Punc</group>
      <groupName>标点问题</groupName>
      <ability>L2_Punc_CN</ability>
      <abilityName>标点符号问题</abilityName>
      <candidateList>
        <item>）（</item>
      </candidateList>
      <explain/>
      <paraID>4C488829</paraID>
      <start>22</start>
      <end>23</end>
      <status>ignored</status>
      <modifiedWord/>
      <trackRevisions>false</trackRevisions>
    </reviewItem>
    <reviewItem>
      <errorID>f4f4c35a-29c0-4ea1-bc8d-84296e87016e</errorID>
      <errorWord>》</errorWord>
      <group>L1_Word</group>
      <groupName>字词问题</groupName>
      <ability>L2_Typo</ability>
      <abilityName>字词错误</abilityName>
      <candidateList>
        <item>》和</item>
      </candidateList>
      <explain/>
      <paraID>26AAAA55</paraID>
      <start>53</start>
      <end>54</end>
      <status>ignored</status>
      <modifiedWord/>
      <trackRevisions>false</trackRevisions>
    </reviewItem>
    <reviewItem>
      <errorID>38db38a2-5c2a-4e53-9a08-d95b03383584</errorID>
      <errorWord>的的</errorWord>
      <group>L1_Other</group>
      <groupName>其他问题</groupName>
      <ability>L2_UserTypo</ability>
      <abilityName>自定义错误</abilityName>
      <candidateList>
        <item>的</item>
      </candidateList>
      <explain>来自自定义错词库。</explain>
      <paraID>4D4B7716</paraID>
      <start>81</start>
      <end>83</end>
      <status>ignored</status>
      <modifiedWord/>
      <trackRevisions>false</trackRevisions>
    </reviewItem>
    <reviewItem>
      <errorID>bc2ff673-b8a5-44c8-9a25-a0f11792922d</errorID>
      <errorWord>废水的项目</errorWord>
      <group>L1_Grammar</group>
      <groupName>语法问题</groupName>
      <ability>L2_Grammar</ability>
      <abilityName>语法错误</abilityName>
      <candidateList>
        <item>废水</item>
      </candidateList>
      <explain/>
      <paraID> 91FD33E</paraID>
      <start>36</start>
      <end>41</end>
      <status>ignored</status>
      <modifiedWord/>
      <trackRevisions>false</trackRevisions>
    </reviewItem>
    <reviewItem>
      <errorID>cbaaf3a1-d994-4143-8770-110a05b6e839</errorID>
      <errorWord>污染物的项目</errorWord>
      <group>L1_Grammar</group>
      <groupName>语法问题</groupName>
      <ability>L2_Grammar</ability>
      <abilityName>语法错误</abilityName>
      <candidateList>
        <item>污染物</item>
      </candidateList>
      <explain/>
      <paraID> 91FD33E</paraID>
      <start>47</start>
      <end>53</end>
      <status>ignored</status>
      <modifiedWord/>
      <trackRevisions>false</trackRevisions>
    </reviewItem>
    <reviewItem>
      <errorID>3f72a61c-a5db-44f9-b348-1906235b0515</errorID>
      <errorWord>号文</errorWord>
      <group>L1_Word</group>
      <groupName>字词问题</groupName>
      <ability>L2_Typo</ability>
      <abilityName>字词错误</abilityName>
      <candidateList>
        <item>号</item>
      </candidateList>
      <explain/>
      <paraID>480B6138</paraID>
      <start>44</start>
      <end>46</end>
      <status>ignored</status>
      <modifiedWord/>
      <trackRevisions>false</trackRevisions>
    </reviewItem>
    <reviewItem>
      <errorID>2306c191-1608-47d1-be72-418dcb5598aa</errorID>
      <errorWord>%</errorWord>
      <group>L1_Punc</group>
      <groupName>标点问题</groupName>
      <ability>L2_Punc_CN</ability>
      <abilityName>标点符号问题</abilityName>
      <candidateList>
        <item>%。</item>
      </candidateList>
      <explain/>
      <paraID> C8CA6B4</paraID>
      <start>30</start>
      <end>31</end>
      <status>ignored</status>
      <modifiedWord/>
      <trackRevisions>false</trackRevisions>
    </reviewItem>
    <reviewItem>
      <errorID>146c960c-2426-4106-8623-0cd9e88c812b</errorID>
      <errorWord>使用</errorWord>
      <group>L1_Punc</group>
      <groupName>标点问题</groupName>
      <ability>L2_Punc_CN</ability>
      <abilityName>标点符号问题</abilityName>
      <candidateList>
        <item>使用。</item>
      </candidateList>
      <explain/>
      <paraID>1D95B377</paraID>
      <start>19</start>
      <end>21</end>
      <status>ignored</status>
      <modifiedWord/>
      <trackRevisions>false</trackRevisions>
    </reviewItem>
    <reviewItem>
      <errorID>a5b58a25-441c-4eb9-b23e-1bec8e699bde</errorID>
      <errorWord>措施</errorWord>
      <group>L1_Punc</group>
      <groupName>标点问题</groupName>
      <ability>L2_Punc_CN</ability>
      <abilityName>标点符号问题</abilityName>
      <candidateList>
        <item>措施。</item>
      </candidateList>
      <explain/>
      <paraID>7A028B3F</paraID>
      <start>6</start>
      <end>8</end>
      <status>ignored</status>
      <modifiedWord/>
      <trackRevisions>false</trackRevisions>
    </reviewItem>
    <reviewItem>
      <errorID>59c1587b-7cbf-4fa3-8755-0819c8fec4fe</errorID>
      <errorWord>使用</errorWord>
      <group>L1_Punc</group>
      <groupName>标点问题</groupName>
      <ability>L2_Punc_CN</ability>
      <abilityName>标点符号问题</abilityName>
      <candidateList>
        <item>使用。</item>
      </candidateList>
      <explain/>
      <paraID> EC172EB</paraID>
      <start>62</start>
      <end>64</end>
      <status>ignored</status>
      <modifiedWord/>
      <trackRevisions>false</trackRevisions>
    </reviewItem>
    <reviewItem>
      <errorID>34d7b0de-226d-4116-8c17-529a7bbc6e51</errorID>
      <errorWord>建设项目</errorWord>
      <group>L1_Punc</group>
      <groupName>标点问题</groupName>
      <ability>L2_Punc_CN</ability>
      <abilityName>标点符号问题</abilityName>
      <candidateList>
        <item>建设项目。</item>
      </candidateList>
      <explain/>
      <paraID>35C14873</paraID>
      <start>18</start>
      <end>22</end>
      <status>ignored</status>
      <modifiedWord/>
      <trackRevisions>false</trackRevisions>
    </reviewItem>
    <reviewItem>
      <errorID>58c4e376-bead-4523-a957-f25ff512664d</errorID>
      <errorWord>污染物</errorWord>
      <group>L1_Punc</group>
      <groupName>标点问题</groupName>
      <ability>L2_Punc_CN</ability>
      <abilityName>标点符号问题</abilityName>
      <candidateList>
        <item>污染物。</item>
      </candidateList>
      <explain/>
      <paraID>12B093CC</paraID>
      <start>9</start>
      <end>12</end>
      <status>ignored</status>
      <modifiedWord/>
      <trackRevisions>false</trackRevisions>
    </reviewItem>
    <reviewItem>
      <errorID>8d95a2b0-6c04-4bbf-9feb-a2ab4988480d</errorID>
      <errorWord>。</errorWord>
      <group>L1_Grammar</group>
      <groupName>语法问题</groupName>
      <ability>L2_Grammar</ability>
      <abilityName>语法错误</abilityName>
      <candidateList>
        <item>的能力。</item>
      </candidateList>
      <explain/>
      <paraID>57489293</paraID>
      <start>148</start>
      <end>149</end>
      <status>ignored</status>
      <modifiedWord/>
      <trackRevisions>false</trackRevisions>
    </reviewItem>
    <reviewItem>
      <errorID>d976c824-1e9b-49e5-908c-740574681964</errorID>
      <errorWord>，</errorWord>
      <group>L1_Punc</group>
      <groupName>标点问题</groupName>
      <ability>L2_Punc_CN</ability>
      <abilityName>标点符号问题</abilityName>
      <candidateList>
        <item>、</item>
      </candidateList>
      <explain/>
      <paraID> D936339</paraID>
      <start>25</start>
      <end>26</end>
      <status>modified</status>
      <modifiedWord>、</modifiedWord>
      <trackRevisions>false</trackRevisions>
    </reviewItem>
    <reviewItem>
      <errorID>01d33c8d-64d5-47ba-a57c-b4a4b27090fb</errorID>
      <errorWord>，</errorWord>
      <group>L1_Grammar</group>
      <groupName>语法问题</groupName>
      <ability>L2_Grammar</ability>
      <abilityName>语法错误</abilityName>
      <candidateList>
        <item>。由于</item>
      </candidateList>
      <explain/>
      <paraID>39AC9D66</paraID>
      <start>19</start>
      <end>20</end>
      <status>ignored</status>
      <modifiedWord/>
      <trackRevisions>false</trackRevisions>
    </reviewItem>
    <reviewItem>
      <errorID>18ee8a6a-25c1-4a46-b404-8f890d8bae51</errorID>
      <errorWord>，</errorWord>
      <group>L1_Punc</group>
      <groupName>标点问题</groupName>
      <ability>L2_Punc_CN</ability>
      <abilityName>标点符号问题</abilityName>
      <candidateList>
        <item>。</item>
      </candidateList>
      <explain/>
      <paraID>  C72141</paraID>
      <start>9</start>
      <end>10</end>
      <status>ignored</status>
      <modifiedWord/>
      <trackRevisions>false</trackRevisions>
    </reviewItem>
    <reviewItem>
      <errorID>1330ff91-0f66-4f81-b14e-c6d96e50d11d</errorID>
      <errorWord> </errorWord>
      <group>L1_Punc</group>
      <groupName>标点问题</groupName>
      <ability>L2_Punc_CN</ability>
      <abilityName>标点符号问题</abilityName>
      <candidateList>
        <item>·</item>
      </candidateList>
      <explain/>
      <paraID>  C72141</paraID>
      <start>52</start>
      <end>53</end>
      <status>ignored</status>
      <modifiedWord/>
      <trackRevisions>false</trackRevisions>
    </reviewItem>
    <reviewItem>
      <errorID>2baa3c6e-791e-4547-9b8a-6e08e971faf1</errorID>
      <errorWord>，因此</errorWord>
      <group>L1_Grammar</group>
      <groupName>语法问题</groupName>
      <ability>L2_Grammar</ability>
      <abilityName>语法错误</abilityName>
      <candidateList>
        <item>，</item>
      </candidateList>
      <explain/>
      <paraID>3C023B9D</paraID>
      <start>33</start>
      <end>36</end>
      <status>ignored</status>
      <modifiedWord/>
      <trackRevisions>false</trackRevisions>
    </reviewItem>
    <reviewItem>
      <errorID>ffcac8c1-bbf2-4355-b7b2-e2958313a98f</errorID>
      <errorWord>，</errorWord>
      <group>L1_Punc</group>
      <groupName>标点问题</groupName>
      <ability>L2_Punc_CN</ability>
      <abilityName>标点符号问题</abilityName>
      <candidateList>
        <item>。</item>
      </candidateList>
      <explain/>
      <paraID>3C023B9D</paraID>
      <start>45</start>
      <end>46</end>
      <status>ignored</status>
      <modifiedWord/>
      <trackRevisions>false</trackRevisions>
    </reviewItem>
    <reviewItem>
      <errorID>6685b018-dda8-45f4-9203-4504c19456bf</errorID>
      <errorWord>本</errorWord>
      <group>L1_Word</group>
      <groupName>字词问题</groupName>
      <ability>L2_Typo</ability>
      <abilityName>字词错误</abilityName>
      <candidateList>
        <item> 本</item>
      </candidateList>
      <explain/>
      <paraID>5BE91774</paraID>
      <start>0</start>
      <end>1</end>
      <status>ignored</status>
      <modifiedWord/>
      <trackRevisions>false</trackRevisions>
    </reviewItem>
    <reviewItem>
      <errorID>c6f82b4a-1225-4eb6-bd6b-2a28da742983</errorID>
      <errorWord>性能测试</errorWord>
      <group>L1_Grammar</group>
      <groupName>语法问题</groupName>
      <ability>L2_Grammar</ability>
      <abilityName>语法错误</abilityName>
      <candidateList>
        <item>性能</item>
      </candidateList>
      <explain/>
      <paraID>75890E35</paraID>
      <start>39</start>
      <end>43</end>
      <status>ignored</status>
      <modifiedWord/>
      <trackRevisions>false</trackRevisions>
    </reviewItem>
    <reviewItem>
      <errorID>016c3d20-be08-4207-b9a5-8b1e68b3f4b2</errorID>
      <errorWord>移动</errorWord>
      <group>L1_Word</group>
      <groupName>字词问题</groupName>
      <ability>L2_Typo</ability>
      <abilityName>字词错误</abilityName>
      <candidateList>
        <item>的移动</item>
      </candidateList>
      <explain/>
      <paraID>75890E35</paraID>
      <start>194</start>
      <end>196</end>
      <status>ignored</status>
      <modifiedWord/>
      <trackRevisions>false</trackRevisions>
    </reviewItem>
    <reviewItem>
      <errorID>adce16d5-7f0b-4899-93da-d5b84e461c5a</errorID>
      <errorWord>在泡</errorWord>
      <group>L1_Word</group>
      <groupName>字词问题</groupName>
      <ability>L2_Typo</ability>
      <abilityName>字词错误</abilityName>
      <candidateList>
        <item>在</item>
      </candidateList>
      <explain/>
      <paraID>75890E35</paraID>
      <start>230</start>
      <end>232</end>
      <status>ignored</status>
      <modifiedWord/>
      <trackRevisions>false</trackRevisions>
    </reviewItem>
    <reviewItem>
      <errorID>8722e2f3-22cd-45d6-8af2-ba18b114f6b7</errorID>
      <errorWord>泡电池</errorWord>
      <group>L1_Knowledge</group>
      <groupName>知识性问题</groupName>
      <ability>L2_Knowledge</ability>
      <abilityName>其他知识</abilityName>
      <candidateList>
        <item>废电池</item>
      </candidateList>
      <explain/>
      <paraID>75890E35</paraID>
      <start>265</start>
      <end>268</end>
      <status>ignored</status>
      <modifiedWord/>
      <trackRevisions>false</trackRevisions>
    </reviewItem>
    <reviewItem>
      <errorID>31e2438c-6a7f-4f8c-b823-b2727bdd6a84</errorID>
      <errorWord>SO2</errorWord>
      <group>L1_Word</group>
      <groupName>字词问题</groupName>
      <ability>L2_Typo</ability>
      <abilityName>字词错误</abilityName>
      <candidateList>
        <item>SO₂</item>
      </candidateList>
      <explain/>
      <paraID>17AC571D</paraID>
      <start>246</start>
      <end>249</end>
      <status>ignored</status>
      <modifiedWord/>
      <trackRevisions>false</trackRevisions>
    </reviewItem>
    <reviewItem>
      <errorID>611a3c11-f78f-46da-b802-5618d0c8072a</errorID>
      <errorWord>现状开展</errorWord>
      <group>L1_Grammar</group>
      <groupName>语法问题</groupName>
      <ability>L2_Grammar</ability>
      <abilityName>语法错误</abilityName>
      <candidateList>
        <item>现状</item>
      </candidateList>
      <explain/>
      <paraID>45D2079E</paraID>
      <start>67</start>
      <end>71</end>
      <status>ignored</status>
      <modifiedWord/>
      <trackRevisions>false</trackRevisions>
    </reviewItem>
    <reviewItem>
      <errorID>9b4a4c69-726d-4c13-8628-8545131c481c</errorID>
      <errorWord>及</errorWord>
      <group>L1_Word</group>
      <groupName>字词问题</groupName>
      <ability>L2_Typo</ability>
      <abilityName>字词错误</abilityName>
      <candidateList>
        <item>；</item>
      </candidateList>
      <explain/>
      <paraID>147F3EFA</paraID>
      <start>70</start>
      <end>71</end>
      <status>ignored</status>
      <modifiedWord/>
      <trackRevisions>false</trackRevisions>
    </reviewItem>
    <reviewItem>
      <errorID>62efe544-cefe-4013-8887-31818e5fa70c</errorID>
      <errorWord>量的</errorWord>
      <group>L1_Word</group>
      <groupName>字词问题</groupName>
      <ability>L2_Typo</ability>
      <abilityName>字词错误</abilityName>
      <candidateList>
        <item>量</item>
      </candidateList>
      <explain/>
      <paraID>14F11E2E</paraID>
      <start>25</start>
      <end>27</end>
      <status>ignored</status>
      <modifiedWord/>
      <trackRevisions>false</trackRevisions>
    </reviewItem>
    <reviewItem>
      <errorID>f73e71ca-8fea-4afa-955a-cc7801c0bffa</errorID>
      <errorWord>GB3095</errorWord>
      <group>L1_Word</group>
      <groupName>字词问题</groupName>
      <ability>L2_Typo</ability>
      <abilityName>字词错误</abilityName>
      <candidateList>
        <item>GB 3095</item>
      </candidateList>
      <explain/>
      <paraID>6A37DAEB</paraID>
      <start>93</start>
      <end>99</end>
      <status>ignored</status>
      <modifiedWord/>
      <trackRevisions>false</trackRevisions>
    </reviewItem>
    <reviewItem>
      <errorID>c0a265e6-6589-4e07-8ea9-6234bfd5ea10</errorID>
      <errorWord>*</errorWord>
      <group>L1_Word</group>
      <groupName>字词问题</groupName>
      <ability>L2_Typo</ability>
      <abilityName>字词错误</abilityName>
      <candidateList>
        <item>·</item>
      </candidateList>
      <explain/>
      <paraID>1724B176</paraID>
      <start>75</start>
      <end>76</end>
      <status>ignored</status>
      <modifiedWord/>
      <trackRevisions>false</trackRevisions>
    </reviewItem>
    <reviewItem>
      <errorID>01e8b3c9-1a0d-42f5-a628-f3c85077712b</errorID>
      <errorWord>TP总磷</errorWord>
      <group>L1_Grammar</group>
      <groupName>语法问题</groupName>
      <ability>L2_Grammar</ability>
      <abilityName>语法错误</abilityName>
      <candidateList>
        <item>TP</item>
      </candidateList>
      <explain/>
      <paraID>4316C55C</paraID>
      <start>202</start>
      <end>206</end>
      <status>ignored</status>
      <modifiedWord/>
      <trackRevisions>false</trackRevisions>
    </reviewItem>
    <reviewItem>
      <errorID>5b2e2583-4329-48d0-ab09-e7de236cec3b</errorID>
      <errorWord>)</errorWord>
      <group>L1_Format</group>
      <groupName>格式问题</groupName>
      <ability>L2_HalfPunc_CN</ability>
      <abilityName>全半角问题</abilityName>
      <candidateList>
        <item>）</item>
      </candidateList>
      <explain>文本全半角错误。</explain>
      <paraID>61D55A23</paraID>
      <start>18</start>
      <end>19</end>
      <status>ignored</status>
      <modifiedWord/>
      <trackRevisions>false</trackRevisions>
    </reviewItem>
    <reviewItem>
      <errorID>1fc9a143-7039-4579-80bc-f37868c1025c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76A60EB0</paraID>
      <start>80</start>
      <end>81</end>
      <status>ignored</status>
      <modifiedWord/>
      <trackRevisions>false</trackRevisions>
    </reviewItem>
    <reviewItem>
      <errorID>1750f28f-6327-4b43-bc5f-a426ee59af59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1AE144FD</paraID>
      <start>27</start>
      <end>28</end>
      <status>ignored</status>
      <modifiedWord/>
      <trackRevisions>false</trackRevisions>
    </reviewItem>
    <reviewItem>
      <errorID>de383b91-00fe-47ba-be9b-aa4b00d13e4e</errorID>
      <errorWord>，…，</errorWord>
      <group>L1_Punc</group>
      <groupName>标点问题</groupName>
      <ability>L2_Punc_CN</ability>
      <abilityName>标点符号问题</abilityName>
      <candidateList>
        <item>，</item>
      </candidateList>
      <explain/>
      <paraID> FE44FF4</paraID>
      <start>8</start>
      <end>12</end>
      <status>ignored</status>
      <modifiedWord/>
      <trackRevisions>false</trackRevisions>
    </reviewItem>
    <reviewItem>
      <errorID>f368c77e-890a-4726-90c6-1eefc71552e8</errorID>
      <errorWord>，…，</errorWord>
      <group>L1_Punc</group>
      <groupName>标点问题</groupName>
      <ability>L2_Punc_CN</ability>
      <abilityName>标点符号问题</abilityName>
      <candidateList>
        <item>，</item>
      </candidateList>
      <explain/>
      <paraID>721CB3B4</paraID>
      <start>5</start>
      <end>9</end>
      <status>ignored</status>
      <modifiedWord/>
      <trackRevisions>false</trackRevisions>
    </reviewItem>
    <reviewItem>
      <errorID>bf1a5b18-33b6-4bb7-8b87-1890c2f47eab</errorID>
      <errorWord>转输</errorWord>
      <group>L1_Word</group>
      <groupName>字词问题</groupName>
      <ability>L2_Typo</ability>
      <abilityName>字词错误</abilityName>
      <candidateList>
        <item>传输</item>
      </candidateList>
      <explain>存在发音相同字词的误用。</explain>
      <paraID>6CD23486</paraID>
      <start>11</start>
      <end>13</end>
      <status>ignored</status>
      <modifiedWord/>
      <trackRevisions>false</trackRevisions>
    </reviewItem>
    <reviewItem>
      <errorID>f6b0fa97-1e05-4ff5-a5eb-b8116367cd04</errorID>
      <errorWord>业</errorWord>
      <group>L1_Word</group>
      <groupName>字词问题</groupName>
      <ability>L2_Typo</ability>
      <abilityName>字词错误</abilityName>
      <candidateList>
        <item>业作</item>
      </candidateList>
      <explain/>
      <paraID>70B25D63</paraID>
      <start>123</start>
      <end>124</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tyleName="APA" SelectedStyle="\APASixthEditionOfficeOnline.xsl" Version="6"/>
</file>

<file path=customXml/item4.xml><?xml version="1.0" encoding="utf-8"?>
<Root xmlns="http://www.founder.com/ProofFile">
  <Root proofFileId="de0365e8-444d-4909-bf0d-3815970718cb" proofVersionId="7"/>
</Root>
</file>

<file path=customXml/item5.xml><?xml version="1.0" encoding="utf-8"?>
<ReviewRoot xmlns="http://www.founder.com/style">
  <Review xmlPath="d:\Documents\方正审校\Temp\Space\20260728\wordStyle\cee11679-c299-4429-8572-1336f8a8dd44.xml" httpUrl="https://gateway.book.founderss.cn/book-review-api/api/doc/00c317b0-91ff-4cf4-a1df-7bb21767af64/docx"/>
</ReviewRoot>
</file>

<file path=customXml/item6.xml><?xml version="1.0" encoding="utf-8"?>
<ReviewRoot xmlns="http://www.founder.com/duplicateLink">
  <DuplicateChecking Path="C:\Users\Administrator\AppData\Local\Temp\815876c1-4e06-46da-88de-fd1dffbce21b.xml"/>
</ReviewRoot>
</file>

<file path=customXml/item7.xml><?xml version="1.0" encoding="utf-8"?>
<ReviewRoot xmlns="http://www.founder.com/review">
  <Review inspectType="多余空格" inspectCategory="可疑" errorCategory="4" operate="1" amend="0" amendTime="" amendContent="" amendColor="" joinJudianRef="" inspectTypeEn="errorspace" keywordsUrl="" rule="" lookup="项目" content="项  目" source="疑似存在多余的空格" errorType="16" AllIndex="0" context="项  目  名  称：" id="2102231" bkName="bkReivew2102231" note="0" index="0"/>
  <Review inspectType="多余空格" inspectCategory="可疑" errorCategory="4" operate="1" amend="0" amendTime="" amendContent="" amendColor="" joinJudianRef="" inspectTypeEn="errorspace" keywordsUrl="" rule="" lookup="名称" content="名  称" source="疑似存在多余的空格" errorType="16" AllIndex="0" context="项  目  名  称：" id="43104" bkName="bkReivew43104" note="0" index="6"/>
  <Review inspectType="多余空格" inspectCategory="可疑" errorCategory="4" operate="1" amend="0" amendTime="" amendContent="" amendColor="" joinJudianRef="" inspectTypeEn="errorspace" keywordsUrl="" rule="" lookup="编制" content="编  制" source="疑似存在多余的空格" errorType="16" AllIndex="0" context="编  制  日  期：" id="70313" bkName="bkReivew70313" note="0" index="0"/>
  <Review inspectType="多余空格" inspectCategory="可疑" errorCategory="4" operate="1" amend="0" amendTime="" amendContent="" amendColor="" joinJudianRef="" inspectTypeEn="errorspace" keywordsUrl="" rule="" lookup="日期" content="日  期" source="疑似存在多余的空格" errorType="16" AllIndex="0" context="编  制  日  期：" id="1131451" bkName="bkReivew1131451" note="0" index="6"/>
  <Review inspectType="字词错误" inspectCategory="可疑" errorCategory="4" operate="1" amend="0" amendTime="" amendContent="" amendColor="" joinJudianRef="" inspectTypeEn="errorwords" keywordsUrl="" rule="" lookup="服务" content="服备" source="" errorType="2" AllIndex="0" context="宁经政服备〔2026〕442号" id="103321" bkName="bkReivew103321" note="0" index="3"/>
  <Review inspectType="语法错误" inspectCategory="可疑" errorCategory="4" operate="2" amend="1" amendTime="2026/7/28 18:07:20" amendContent="" amendColor="16740864" joinJudianRef="" inspectTypeEn="grammar" keywordsUrl="" rule="" lookup="建议删除" content="中" source="" errorType="2" AllIndex="0" context="根据《建设项目环境影响报告表编制技术指南（污染影响类）》中相关要求，本项目无须设置专项评价。" id="3122014" bkName="bkReivew3122014" note="0" index="28" originColor="reviewtag_0000FF"/>
  <Review inspectType="语法错误" inspectCategory="可疑" errorCategory="4" operate="1" amend="0" amendTime="" amendContent="" amendColor="" joinJudianRef="" inspectTypeEn="grammar" keywordsUrl="" rule="" lookup="江宁区" content="江宁" source="" errorType="2" AllIndex="0" context="审查机关：南京市江宁生态环境局" id="2151502" bkName="bkReivew2151502" note="0" index="8"/>
  <Review inspectType="语法错误" inspectCategory="可疑" errorCategory="4" operate="2" amend="0" amendTime="" amendContent="" amendColor="" joinJudianRef="" inspectTypeEn="grammar" keywordsUrl="" rule="" lookup="建议删除" content="用地" source="" errorType="2" AllIndex="0" context="综上所述，本项目用地符合国家相关用地政策。" id="31050" bkName="bkReivew31050" note="0" index="16"/>
  <Review inspectType="语法错误" inspectCategory="可疑" errorCategory="4" operate="2" amend="0" amendTime="" amendContent="" amendColor="" joinJudianRef="" inspectTypeEn="grammar" keywordsUrl="" rule="" lookup="建议删除" content="性" source="" errorType="2" AllIndex="0" context="本项目建设与陶吴片区工业集中区生态环境准入清单相符性" id="1020625" bkName="bkReivew1020625" note="0" index="25"/>
  <Review inspectType="涉政用语错误" inspectCategory="错误" errorCategory="1" operate="1" amend="0" amendTime="" amendContent="" amendColor="" joinJudianRef="" inspectTypeEn="politicalterms" keywordsUrl="" rule="" lookup="发展和改革委员会" content="发展和改革委" source="敏感词类型：行政用语规范；建议规则：机构名称错误，建议使用规范用语；" errorType="1" AllIndex="0" context="1、符合产业定位且属于国家发展和改革委《产业结构调整指导目录（2019年本）》《〈中国制造2025〉重点领域技术路线图（2015年版）》《鼓励外商投资产业目录（2020年版）》《战略性新兴产业重点产品和服务指导目录（2016）》《产业发展与转移指导目录（2018年本）》等产业政策文件中属于鼓励类和重点发展行业中的产品、工艺和技术。" id="3130630" bkName="bkReivew3130630" note="0" index="13"/>
  <Review inspectType="语法错误" inspectCategory="可疑" errorCategory="4" operate="2" amend="0" amendTime="" amendContent="" amendColor="" joinJudianRef="" inspectTypeEn="grammar" keywordsUrl="" rule="" lookup="建议删除" content="的" source="" errorType="2" AllIndex="0" context="3、符合产业定位的区域发展需要的项目，高性能、技术含量高的关键性、基础性、资源优势性的项目。" id="3023606" bkName="bkReivew3023606" note="0" index="42"/>
  <Review inspectType="语法错误" inspectCategory="可疑" errorCategory="4" operate="1" amend="0" amendTime="" amendContent="" amendColor="" joinJudianRef="" inspectTypeEn="grammar" keywordsUrl="" rule="" lookup="为移动" content="移动" source="" errorType="2" AllIndex="0" context="3、本项目移动电源设备生产项目，属于其他智能消费设备制造，符合工业集中区装备制造的产业定位。" id="2052332" bkName="bkReivew2052332" note="0" index="5"/>
  <Review inspectType="字词错误" inspectCategory="可疑" errorCategory="4" operate="1" amend="0" amendTime="" amendContent="" amendColor="" joinJudianRef="" inspectTypeEn="errorwords" keywordsUrl="" rule="" lookup="黏" content="粘" source="" errorType="2" AllIndex="0" context="（1）禁止建设生产和使用高VOCs含量的溶剂型涂料、油墨、胶粘剂等项目；" id="1063255" bkName="bkReivew1063255" note="0" index="30"/>
  <Review inspectType="字词错误" inspectCategory="可疑" errorCategory="4" operate="1" amend="0" amendTime="" amendContent="" amendColor="" joinJudianRef="" inspectTypeEn="errorwords" keywordsUrl="" rule="" lookup="黏" content="粘" source="" errorType="2" AllIndex="0" context="不涉及溶剂型涂料、油墨、胶粘剂的使用；" id="2513" bkName="bkReivew2513" note="0" index="13"/>
  <Review inspectType="语法错误" inspectCategory="可疑" errorCategory="4" operate="1" amend="0" amendTime="" amendContent="" amendColor="" joinJudianRef="" inspectTypeEn="grammar" keywordsUrl="" rule="" lookup="之间" content="间" source="" errorType="2" AllIndex="0" context="2、合理产业布局，在集中区与周边居住区之间、生产设施与敏感目标间设置一定距离的防护绿地、生态绿地等隔离带。" id="133644" bkName="bkReivew133644" note="0" index="31"/>
  <Review inspectType="字词错误" inspectCategory="可疑" errorCategory="4" operate="1" amend="0" amendTime="" amendContent="" amendColor="" joinJudianRef="" inspectTypeEn="errorwords" keywordsUrl="" rule="" lookup="物" content="雾" source="" errorType="2" AllIndex="0" context="3、规划期末，集中区大气污染物：SO2、NOx、颗粒物、VOCs、HCl、苯、甲苯、二甲苯、硫酸雾排放量不得超过1.288吨/年、7.330吨/年、24.78吨/年、4.986吨/年、0.261吨/年、0.505吨/年、0.105吨/年、0.22吨/年、0.437吨/年。" id="120602" bkName="bkReivew120602" note="0" index="48"/>
  <Review inspectType="标点符号错误" inspectCategory="可疑" errorCategory="4" operate="1" amend="0" amendTime="" amendContent="" amendColor="" joinJudianRef="" inspectTypeEn="punctuation" keywordsUrl="" rule="" lookup="，" content="；" source="" errorType="116" AllIndex="0" context="本项目不涉及含汞、砷、镉、铬、铅等重金属废水；" id="103744" bkName="bkReivew103744" note="0" index="22"/>
  <Review inspectType="字词错误" inspectCategory="可疑" errorCategory="4" operate="1" amend="0" amendTime="" amendContent="" amendColor="" joinJudianRef="" inspectTypeEn="errorwords" keywordsUrl="" rule="" lookup="须" content="需" source="" errorType="2" AllIndex="0" context="2、集中区本轮工业用地规模需严格控制在154.52公顷，不得突破该规模。" id="1161020" bkName="bkReivew1161020" note="0" index="13"/>
  <Review inspectType="标点符号错误" inspectCategory="可疑" errorCategory="4" operate="1" amend="1" amendTime="2026/7/28 18:08:48" amendContent="；" amendColor="16740864" joinJudianRef="" inspectTypeEn="punctuation" keywordsUrl="" rule="" lookup="；" content="，" source="" errorType="116" AllIndex="0" context="项目用水量较小，符合区域水资源规划要求，项目使用电作为能源，未采用高污染燃料。" id="120814" bkName="bkReivew120814" note="0" index="19" originColor="reviewtag_auto"/>
  <Review inspectType="语法错误" inspectCategory="可疑" errorCategory="4" operate="1" amend="0" amendTime="" amendContent="" amendColor="" joinJudianRef="" inspectTypeEn="grammar" keywordsUrl="" rule="" lookup="的相符" content="相符" source="" errorType="2" AllIndex="0" context="本项目与产业政策相符性如下表：" id="111114" bkName="bkReivew111114" note="0" index="8"/>
  <Review inspectType="字词错误" inspectCategory="可疑" errorCategory="4" operate="1" amend="0" amendTime="" amendContent="" amendColor="" joinJudianRef="" inspectTypeEn="errorwords" keywordsUrl="" rule="" lookup="服务" content="服备" source="" errorType="2" AllIndex="0" context="该项目于2026年7月22日获得南京江宁经济技术开发区管理委员会政务服务中心备案，备案证号：宁经政服备〔2026〕442号" id="160722" bkName="bkReivew160722" note="0" index="49"/>
  <Review inspectType="语法错误" inspectCategory="可疑" errorCategory="4" operate="2" amend="0" amendTime="" amendContent="" amendColor="" joinJudianRef="" inspectTypeEn="grammar" keywordsUrl="" rule="" lookup="建议删除" content="目录" source="" errorType="2" AllIndex="0" context="本项目位于南京市江宁经济技术开发区横溪街道乐园路7号，根据不动产权证，厂区用地性质为工业用地，不在《江苏省限制用地项目目录（2013年本）》和《江苏省禁止用地项目目录（2013年本）》目录范围内。" id="1110253" bkName="bkReivew1110253" note="0" index="92"/>
  <Review inspectType="语法错误" inspectCategory="可疑" errorCategory="4" operate="2" amend="1" amendTime="2026/7/28 18:07:35" amendContent="" amendColor="16740864" joinJudianRef="" inspectTypeEn="grammar" keywordsUrl="" rule="" lookup="建议删除" content="中" source="" errorType="2" AllIndex="0" context="本项目建设不会导致区域生态空间保护区生态服务功能下降，不违背江苏省、南京市生态红线区域保护规划中的要求。" id="2060213" bkName="bkReivew2060213" note="0" index="47" originColor="reviewtag_auto"/>
  <Review inspectType="语法错误" inspectCategory="可疑" errorCategory="4" operate="2" amend="0" amendTime="" amendContent="" amendColor="" joinJudianRef="" inspectTypeEn="grammar" keywordsUrl="" rule="" lookup="建议删除" content="所列" source="" errorType="2" AllIndex="0" context="综上分析，本项目不在上述所列环境准入负面清单中。" id="1000332" bkName="bkReivew1000332" note="0" index="12"/>
  <Review inspectType="语法错误" inspectCategory="可疑" errorCategory="4" operate="2" amend="1" amendTime="2026/7/28 18:09:30" amendContent="" amendColor="16740864" joinJudianRef="" inspectTypeEn="grammar" keywordsUrl="" rule="" lookup="建议删除" content="级" source="" errorType="2" AllIndex="0" context="本项目不占用国家级生态保护红线和生态空间管控区域。" id="142216" bkName="bkReivew142216" note="0" index="8" originColor="reviewtag_FF0000"/>
  <Review inspectType="语法错误" inspectCategory="可疑" errorCategory="4" operate="2" amend="1" amendTime="2026/7/28 18:07:50" amendContent="" amendColor="16740864" joinJudianRef="" inspectTypeEn="grammar" keywordsUrl="" rule="" lookup="建议删除" content="中" source="" errorType="2" AllIndex="0" context="本项目为移动电源设备生产项目，不属于文件中要求的禁止建设项目。" id="3172056" bkName="bkReivew3172056" note="0" index="20" originColor="reviewtag_FF0000"/>
  <Review inspectType="语法错误" inspectCategory="可疑" errorCategory="4" operate="2" amend="1" amendTime="2026/7/28 18:07:53" amendContent="" amendColor="16740864" joinJudianRef="" inspectTypeEn="grammar" keywordsUrl="" rule="" lookup="建议删除" content="中" source="" errorType="2" AllIndex="0" context="本项目为移动电源设备生产项目，不属于文件中要求的禁止建设的码头项目及过江干线项目。" id="2013556" bkName="bkReivew2013556" note="0" index="20" originColor="reviewtag_FF0000"/>
  <Review inspectType="语法错误" inspectCategory="可疑" errorCategory="4" operate="1" amend="0" amendTime="" amendContent="" amendColor="" joinJudianRef="" inspectTypeEn="grammar" keywordsUrl="" rule="" lookup="江宁区" content="江宁" source="" errorType="2" AllIndex="0" context="本项目已向南京市江宁生态环境局申请总量，废水污染物由江宁区水减排项目平衡，废气污染物由江宁区大气减排项目平衡。" id="2153435" bkName="bkReivew2153435" note="0" index="8"/>
  <Review inspectType="语法错误" inspectCategory="可疑" errorCategory="4" operate="2" amend="0" amendTime="" amendContent="" amendColor="" joinJudianRef="" inspectTypeEn="grammar" keywordsUrl="" rule="" lookup="建议删除" content="在" source="" errorType="2" AllIndex="0" context="图1-3 本项目所在位置在江苏省生态环境分区管控综合服务系统截图" id="2735" bkName="bkReivew2735" note="0" index="12"/>
  <Review inspectType="字词错误" inspectCategory="可疑" errorCategory="4" operate="1" amend="0" amendTime="" amendContent="" amendColor="" joinJudianRef="" inspectTypeEn="errorwords" keywordsUrl="" rule="" lookup="不属于" content="不排放" source="" errorType="2" AllIndex="0" context="本项目为移动电源设备生产项目，本项目不排放含汞、砷、镉、铬、铅重金属废水的项目和持久性有机污染物的项目，不属于禁止引入项目。" id="1042044" bkName="bkReivew1042044" note="0" index="18"/>
  <Review inspectType="字词错误" inspectCategory="可疑" errorCategory="4" operate="1" amend="0" amendTime="" amendContent="" amendColor="" joinJudianRef="" inspectTypeEn="errorwords" keywordsUrl="" rule="" lookup="提高" content="加强" source="" errorType="2" AllIndex="0" context="（2）加强企业清洁生产水平，减少HCl、非甲烷总烃、二甲苯、硫酸雾等特征污染物排放。" id="3033516" bkName="bkReivew3033516" note="0" index="3"/>
  <Review inspectType="语法错误" inspectCategory="可疑" errorCategory="4" operate="2" amend="0" amendTime="" amendContent="" amendColor="" joinJudianRef="" inspectTypeEn="grammar" keywordsUrl="" rule="" lookup="建议删除" content="保障" source="" errorType="2" AllIndex="0" context="（1）完善突发环境事件风险防控措施，排查治理环境安全隐患，加强环境应急能力保障建设。" id="171602" bkName="bkReivew171602" note="0" index="37"/>
  <Review inspectType="语法错误" inspectCategory="可疑" errorCategory="4" operate="1" amend="0" amendTime="" amendContent="" amendColor="" joinJudianRef="" inspectTypeEn="grammar" keywordsUrl="" rule="" lookup="的相符" content="相符" source="" errorType="2" AllIndex="0" context="本项目与环保政策相符性分析见下表：" id="2062544" bkName="bkReivew2062544" note="0" index="8"/>
  <Review inspectType="字词错误" inspectCategory="可疑" errorCategory="4" operate="1" amend="0" amendTime="" amendContent="" amendColor="" joinJudianRef="" inspectTypeEn="errorwords" keywordsUrl="" rule="" lookup="黏" content="粘" source="" errorType="2" AllIndex="0" context="主要涉及喷漆、流平、烘干修补等产生VOCs生产工序的企业，使用的涂料、清洗剂、胶粘剂等原辅材料均使用《低挥发性有机化合物含量涂料产品技术要求》（GB/T 38597-2020）规定的粉末、水性、无溶剂、辐射固化涂料产品；" id="143010" bkName="bkReivew143010" note="0" index="40"/>
  <Review inspectType="语法错误" inspectCategory="可疑" errorCategory="4" operate="1" amend="0" amendTime="" amendContent="" amendColor="" joinJudianRef="" inspectTypeEn="grammar" keywordsUrl="" rule="" lookup="控制，" content="，" source="" errorType="2" AllIndex="0" context="本项目产生的VOCs废气向江宁区申请总量，已取得总量控制指标。" id="3130132" bkName="bkReivew3130132" note="0" index="20"/>
  <Review inspectType="字词错误" inspectCategory="可疑" errorCategory="4" operate="1" amend="0" amendTime="" amendContent="" amendColor="" joinJudianRef="" inspectTypeEn="errorwords" keywordsUrl="" rule="" lookup="黏" content="粘" source="" errorType="2" AllIndex="0" context="使用涂料、油墨、胶粘剂、清洗剂等材料的，VOCs含量应满足国家及省VOCs含量限值要求（附表），优先使用水性、粉末、高固体分、无溶剂、辐射固化等低VOCs含量、低反应活性材料，源头控制VOCs产生。" id="1030720" bkName="bkReivew1030720" note="0" index="9"/>
  <Review inspectType="字词错误" inspectCategory="可疑" errorCategory="4" operate="1" amend="0" amendTime="" amendContent="" amendColor="" joinJudianRef="" inspectTypeEn="errorwords" keywordsUrl="" rule="" lookup="黏" content="粘" source="" errorType="2" AllIndex="0" context="禁止审批生产和使用高VOCs含量的涂料、油墨、胶粘剂、清洗剂等建设项目。" id="2182410" bkName="bkReivew2182410" note="0" index="24"/>
  <Review inspectType="字词错误" inspectCategory="可疑" errorCategory="4" operate="1" amend="0" amendTime="" amendContent="" amendColor="" joinJudianRef="" inspectTypeEn="errorwords" keywordsUrl="" rule="" lookup="黏" content="粘" source="" errorType="2" AllIndex="0" context="本项目不涉及使用涂料、油墨、胶粘剂、清洗剂等材料。" id="3141453" bkName="bkReivew3141453" note="0" index="15"/>
  <Review inspectType="语法错误" inspectCategory="可疑" errorCategory="4" operate="1" amend="0" amendTime="" amendContent="" amendColor="" joinJudianRef="" inspectTypeEn="grammar" keywordsUrl="" rule="" lookup="原则上应" content="应原则上" source="" errorType="2" AllIndex="0" context="VOCs废气应遵循“应收尽收、分质收集”原则，收集效率应原则上不低于90%，由于技术可行性等因素确实达不到的，应在环评文件中充分论述并确定收集效率要求。" id="1172411" bkName="bkReivew1172411" note="0" index="27"/>
  <Review inspectType="语法错误" inspectCategory="可疑" errorCategory="4" operate="2" amend="0" amendTime="" amendContent="" amendColor="" joinJudianRef="" inspectTypeEn="grammar" keywordsUrl="" rule="" lookup="建议删除" content="的" source="" errorType="2" AllIndex="0" context="《优先控制化学品名录》重点识别和关注固有危害属性较大，环境中可能长期存在的并可能对环境和人体健康造成较大风险的化学品。" id="31845" bkName="bkReivew31845" note="0" index="36"/>
  <Review inspectType="语法错误" inspectCategory="可疑" errorCategory="4" operate="2" amend="0" amendTime="" amendContent="" amendColor="" joinJudianRef="" inspectTypeEn="grammar" keywordsUrl="" rule="" lookup="建议删除" content="从" source="" errorType="2" AllIndex="0" context="“企业要切实履行好从危险废物产生、收集、贮存、运输、利用、处置等环节各项环保和安全职责；" id="133423" bkName="bkReivew133423" note="0" index="9"/>
  <Review inspectType="语法错误" inspectCategory="可疑" errorCategory="4" operate="1" amend="0" amendTime="" amendContent="" amendColor="" joinJudianRef="" inspectTypeEn="grammar" keywordsUrl="" rule="" lookup="有效地" content="有效" source="" errorType="2" AllIndex="0" context="本环评要求企业按该文件要求在运营过程中切实履行好自身主体责任，配合相关部门积极有效开展环境保护和应急管理工作。" id="101556" bkName="bkReivew101556" note="0" index="39"/>
  <Review inspectType="标准未收录" inspectCategory="可疑" errorCategory="4" operate="0" amend="0" amendTime="" amendContent="" amendColor="" joinJudianRef="" inspectTypeEn="standardnotcollected" keywordsUrl="" rule="" lookup="" content="GB47372" source="" errorType="" AllIndex="0" context="《移动电源安全技术规范》（GB47372）" id="1180501" bkName="bkReivew1180501" note="0" index="13"/>
  <Review inspectType="字词错误" inspectCategory="可疑" errorCategory="4" operate="1" amend="1" amendTime="2026/7/28 18:10:21" amendContent="配备" amendColor="16740864" joinJudianRef="" inspectTypeEn="errorwords" keywordsUrl="" rule="" lookup="配备" content="配有" source="" errorType="2" AllIndex="0" context="配有一定的应急物资，如灭火器、消防栓、防毒面具，堵水气囊、应急水囊等。" id="3012251" bkName="bkReivew3012251" note="0" index="0" originColor="reviewtag_auto"/>
  <Review inspectType="字词错误" inspectCategory="可疑" errorCategory="4" operate="1" amend="0" amendTime="" amendContent="" amendColor="" joinJudianRef="" inspectTypeEn="errorwords" keywordsUrl="" rule="" lookup="消火栓" content="消防栓" source="" errorType="2" AllIndex="0" context="配有一定的应急物资，如灭火器、消防栓、防毒面具，堵水气囊、应急水囊等。" id="2070005" bkName="bkReivew2070005" note="0" index="15"/>
  <Review inspectType="多余空格" inspectCategory="可疑" errorCategory="4" operate="1" amend="1" amendTime="2026/7/28 18:10:37" amendContent="在217" amendColor="16740864" joinJudianRef="" inspectTypeEn="errorspace" keywordsUrl="" rule="" lookup="在217" content="在 217" source="疑似存在多余的空格" errorType="16" AllIndex="0" context="熔融温度在 217~237℃，热分解温度在270℃以上。" id="2173551" bkName="bkReivew2173551" note="0" index="4" originColor="reviewtag_auto"/>
  <Review inspectType="语法错误" inspectCategory="可疑" errorCategory="4" operate="2" amend="0" amendTime="" amendContent="" amendColor="" joinJudianRef="" inspectTypeEn="grammar" keywordsUrl="" rule="" lookup="建议删除" content="泡" source="" errorType="2" AllIndex="0" context="本项目用水主要为生活用水、泡电池水，不涉及地面清洗，地面仅需进行简单清扫。" id="21026" bkName="bkReivew21026" note="0" index="13"/>
  <Review inspectType="语法错误" inspectCategory="可疑" errorCategory="4" operate="2" amend="0" amendTime="" amendContent="" amendColor="" joinJudianRef="" inspectTypeEn="grammar" keywordsUrl="" rule="" lookup="建议删除" content="产生的" source="" errorType="2" AllIndex="0" context="本项目设置1个200L水桶用于浸泡电池，放电，泡电池水每月更换一次，因此用量为2.4t/a，考虑损耗量为10%，则产生的泡电池废液产生量为2.16t/a。" id="1740" bkName="bkReivew1740" note="0" index="57"/>
  <Review inspectType="语法错误" inspectCategory="可疑" errorCategory="4" operate="1" amend="1" amendTime="2026/7/28 18:10:48" amendContent="办公" amendColor="16740864" joinJudianRef="" inspectTypeEn="grammar" keywordsUrl="" rule="" lookup="办公" content="办" source="" errorType="2" AllIndex="0" context="中部设置生产区及办区；" id="1073234" bkName="bkReivew1073234" note="0" index="8" originColor="reviewtag_auto"/>
  <Review inspectType="语法错误" inspectCategory="可疑" errorCategory="4" operate="2" amend="0" amendTime="" amendContent="" amendColor="" joinJudianRef="" inspectTypeEn="grammar" keywordsUrl="" rule="" lookup="建议删除" content="强" source="" errorType="2" AllIndex="0" context="本项目为新建项目，建设单位租用已建厂房，施工期仅涉及厂房改造、新设备的安装调试，施工简单，且时间短，施工期环境影响较小，因此本次评价不对施工期污染源强做进一步分析。" id="1112630" bkName="bkReivew1112630" note="0" index="74"/>
  <Review inspectType="字词错误" inspectCategory="可疑" errorCategory="4" operate="1" amend="0" amendTime="" amendContent="" amendColor="" joinJudianRef="" inspectTypeEn="errorwords" keywordsUrl="" rule="" lookup="黏" content="粘" source="" errorType="2" AllIndex="0" context="电池由正极材料、负极材料、电解液、隔膜等其他组件组成，燃烧过程中，电解液、电池材料中胶粘剂会受热分解产生氟化物、非甲烷总烃，正负极材料中粉体喷射产生颗粒物。" id="1102342" bkName="bkReivew1102342" note="0" index="43"/>
  <Review inspectType="语法错误" inspectCategory="可疑" errorCategory="4" operate="1" amend="1" amendTime="2026/7/28 18:10:56" amendContent="应及时" amendColor="16740864" joinJudianRef="" inspectTypeEn="grammar" keywordsUrl="" rule="" lookup="应及时" content="及时" source="" errorType="2" AllIndex="0" context="电池检验过程若发生燃烧，检测人员及时使用水基型灭火器灭火，该过程会产生S3消防废液、S4报废灭火器瓶。" id="2142751" bkName="bkReivew2142751" note="0" index="16" originColor="reviewtag_FF0000"/>
  <Review inspectType="语法错误" inspectCategory="可疑" errorCategory="4" operate="2" amend="0" amendTime="" amendContent="" amendColor="" joinJudianRef="" inspectTypeEn="grammar" keywordsUrl="" rule="" lookup="建议删除" content="产" source="" errorType="2" AllIndex="0" context="本项目建成后，营运期产排污情况如下表2-7。" id="51034" bkName="bkReivew51034" note="0" index="10"/>
  <Review inspectType="标点符号错误" inspectCategory="可疑" errorCategory="4" operate="0" amend="0" amendTime="" amendContent="" amendColor="" joinJudianRef="" inspectTypeEn="punctuation" keywordsUrl="" rule="" lookup="建议修改为可书写在段首的标点符号" content="/" source="" errorType="102" AllIndex="0" context="/" id="3103655" bkName="bkReivew3103655" note="0" index="0"/>
  <Review inspectType="标点符号错误" inspectCategory="可疑" errorCategory="4" operate="0" amend="0" amendTime="" amendContent="" amendColor="" joinJudianRef="" inspectTypeEn="punctuation" keywordsUrl="" rule="" lookup="建议修改为可书写在段首的标点符号" content="/" source="" errorType="102" AllIndex="0" context="/" id="73532" bkName="bkReivew73532" note="0" index="0"/>
  <Review inspectType="语法错误" inspectCategory="可疑" errorCategory="4" operate="1" amend="0" amendTime="" amendContent="" amendColor="" joinJudianRef="" inspectTypeEn="grammar" keywordsUrl="" rule="" lookup="在仓库" content="仓库" source="" errorType="2" AllIndex="0" context="一般固废仓库暂存，合规处置" id="2171054" bkName="bkReivew2171054" note="0" index="4"/>
  <Review inspectType="语法错误" inspectCategory="可疑" errorCategory="4" operate="2" amend="0" amendTime="" amendContent="" amendColor="" joinJudianRef="" inspectTypeEn="grammar" keywordsUrl="" rule="" lookup="建议删除" content="产生" source="" errorType="2" AllIndex="0" context="根据本项目污染物产生排放情况，选取TSP为特征污染物。" id="3060335" bkName="bkReivew3060335" note="0" index="8"/>
  <Review inspectType="语法错误" inspectCategory="可疑" errorCategory="4" operate="2" amend="0" amendTime="" amendContent="" amendColor="" joinJudianRef="" inspectTypeEn="grammar" keywordsUrl="" rule="" lookup="建议删除" content="值" source="" errorType="2" AllIndex="0" context="由上表分析结果可知，TSP日均值浓度符合《环境空气质量标准》（GB3095-2012）二级标准，也满足《环境空气质量标准》（GB 3095-2026）二级标准中的限值要求。" id="182532" bkName="bkReivew182532" note="0" index="15"/>
  <Review inspectType="标点符号错误" inspectCategory="可疑" errorCategory="4" operate="0" amend="0" amendTime="" amendContent="" amendColor="" joinJudianRef="" inspectTypeEn="punctuation" keywordsUrl="" rule="" lookup="套用错误" content="（" source="" errorType="106" AllIndex="0" context="根据《2025年南京市生态环境状况公报》，全市水环境质量总体状况为优，纳入江苏省“十四五”水环境考核目标的42个地表水断面水质优良（《地表水环境质量标准》（GB 3838-2002）Ⅲ类及以上）比例100%，无丧失使用功能（劣Ⅴ类）断面。" id="3142523" bkName="bkReivew3142523" note="0" index="77"/>
  <Review inspectType="标点符号错误" inspectCategory="可疑" errorCategory="4" operate="0" amend="0" amendTime="" amendContent="" amendColor="" joinJudianRef="" inspectTypeEn="punctuation" keywordsUrl="" rule="" lookup="套用错误" content="）" source="" errorType="106" AllIndex="0" context="根据《2025年南京市生态环境状况公报》，全市水环境质量总体状况为优，纳入江苏省“十四五”水环境考核目标的42个地表水断面水质优良（《地表水环境质量标准》（GB 3838-2002）Ⅲ类及以上）比例100%，无丧失使用功能（劣Ⅴ类）断面。" id="2062216" bkName="bkReivew2062216" note="0" index="90"/>
  <Review inspectType="语法错误" inspectCategory="可疑" errorCategory="4" operate="1" amend="0" amendTime="" amendContent="" amendColor="" joinJudianRef="" inspectTypeEn="grammar" keywordsUrl="" rule="" lookup="接入" content="接管至" source="" errorType="2" AllIndex="0" context="厂区生活污水经化粪池处理后进入市政污水管网接管至空港污水处理厂，尾水排放至云台山河。" id="2011716" bkName="bkReivew2011716" note="0" index="21"/>
  <Review inspectType="语法错误" inspectCategory="可疑" errorCategory="4" operate="1" amend="1" amendTime="2026/7/28 18:11:26" amendContent="中的" amendColor="16740864" joinJudianRef="" inspectTypeEn="grammar" keywordsUrl="" rule="" lookup="中的" content="中" source="" errorType="2" AllIndex="0" context="为了了解项目附近地表水环境现状，本次云台山河现状监测数据引用《南京江宁经济技术开发区环境影响评价区域评估报告》中数据，具体监测断面和监测因子见下表。" id="142700" bkName="bkReivew142700" note="0" index="55" originColor="reviewtag_0000FF"/>
  <Review inspectType="语法错误" inspectCategory="可疑" errorCategory="4" operate="1" amend="0" amendTime="" amendContent="" amendColor="" joinJudianRef="" inspectTypeEn="grammar" keywordsUrl="" rule="" lookup="对" content="开展" source="" errorType="2" AllIndex="0" context="本项目属于C3969其他智能消费设备制造，不属于广播电台、差转台、电视塔台、卫星地球上行站、雷达等电磁辐射类项目，无需开展电磁辐射现状开展监测与评价。" id="3102414" bkName="bkReivew3102414" note="0" index="59"/>
  <Review inspectType="语法错误" inspectCategory="可疑" errorCategory="4" operate="1" amend="0" amendTime="" amendContent="" amendColor="" joinJudianRef="" inspectTypeEn="grammar" keywordsUrl="" rule="" lookup="后，" content="，" source="" errorType="2" AllIndex="0" context="本项目厂区生活污水经化粪池处理，接管至空港污水处理厂，pH、COD、SS执行《污水综合排放标准》（GB8978-1996）表4中三级标准及NH3-N、TP、TN执行《污水排入城镇下水道水质标准》（GB/T31962-2015）表1中B等级标准。" id="3181003" bkName="bkReivew3181003" note="0" index="15"/>
  <Review inspectType="语法错误" inspectCategory="可疑" errorCategory="4" operate="1" amend="1" amendTime="2026/7/28 18:11:49" amendContent="应满足" amendColor="16740864" joinJudianRef="" inspectTypeEn="grammar" keywordsUrl="" rule="" lookup="应满足" content="满足" source="" errorType="2" AllIndex="0" context="本项目一般工业固体废物贮存过程满足相应防渗漏、防雨淋、防扬尘等环境保护要求。" id="153431" bkName="bkReivew153431" note="0" index="15" originColor="reviewtag_FF0000"/>
  <Review inspectType="非推荐词" inspectCategory="可疑" errorCategory="4" operate="1" amend="0" amendTime="" amendContent="" amendColor="" joinJudianRef="" inspectTypeEn="nonrecommender" keywordsUrl="" rule="" lookup="黏接" content="粘接" source="" errorType="2" AllIndex="0" context="磷酸铁锂电池由正极材料、负极材料、电解液、隔膜、外壳和其他组件组成，电池生产过程中使用胶黏剂（PVDF、SBR等）将活性物质粘接在铜箔或铝箔上。" id="1062845" bkName="bkReivew1062845" note="0" index="62"/>
  <Review inspectType="标点符号错误" inspectCategory="可疑" errorCategory="4" operate="0" amend="0" amendTime="" amendContent="" amendColor="" joinJudianRef="" inspectTypeEn="punctuation" keywordsUrl="" rule="" lookup="套用错误" content="（" source="" errorType="106" AllIndex="0" context="本次评价选取典型磷酸铁锂电池组成成分进行分析：外壳13%（铝壳）、正极43%（其中磷酸铁锂粉35.8%、PVDF 1%、导电炭黑1.1%、铝粒5.1%）、负极31.5%（负极粉24.5%、SBR 0.5%、铜粒6.2%、锂0.3%）、隔膜4.5%（PP/PE 2.9%、氧化铝1.6%）、电解液8%（有机溶剂6%、电解质盐（LiPF6等）1%、添加剂1%）。" id="3162135" bkName="bkReivew3162135" note="0" index="161"/>
  <Review inspectType="标点符号错误" inspectCategory="可疑" errorCategory="4" operate="0" amend="0" amendTime="" amendContent="" amendColor="" joinJudianRef="" inspectTypeEn="punctuation" keywordsUrl="" rule="" lookup="套用错误" content="）" source="" errorType="106" AllIndex="0" context="本次评价选取典型磷酸铁锂电池组成成分进行分析：外壳13%（铝壳）、正极43%（其中磷酸铁锂粉35.8%、PVDF 1%、导电炭黑1.1%、铝粒5.1%）、负极31.5%（负极粉24.5%、SBR 0.5%、铜粒6.2%、锂0.3%）、隔膜4.5%（PP/PE 2.9%、氧化铝1.6%）、电解液8%（有机溶剂6%、电解质盐（LiPF6等）1%、添加剂1%）。" id="1003433" bkName="bkReivew1003433" note="0" index="168"/>
  <Review inspectType="语法错误" inspectCategory="可疑" errorCategory="4" operate="1" amend="1" amendTime="2026/7/28 18:11:59" amendContent="的信息" amendColor="16740864" joinJudianRef="" inspectTypeEn="grammar" keywordsUrl="" rule="" lookup="的信息" content="信息" source="" errorType="2" AllIndex="0" context="根据企业提供信息，磷酸铁锂电池发生火灾的电池量为2t/a。" id="13322" bkName="bkReivew13322" note="0" index="6" originColor="reviewtag_auto"/>
  <Review inspectType="语法错误" inspectCategory="可疑" errorCategory="4" operate="1" amend="1" amendTime="2026/7/28 18:12:03" amendContent="的电池" amendColor="16740864" joinJudianRef="" inspectTypeEn="grammar" keywordsUrl="" rule="" lookup="的电池" content="电池" source="" errorType="2" AllIndex="0" context="根据企业提供电池燃烧参数，本次评价考虑燃烧过程中20%电解液有机溶剂受热挥发（以非甲烷总烃计），则非甲烷总烃废气产生量为0.024t/a；" id="163705" bkName="bkReivew163705" note="0" index="6" originColor="reviewtag_auto"/>
  <Review inspectType="多余空格" inspectCategory="可疑" errorCategory="4" operate="1" amend="0" amendTime="" amendContent="" amendColor="" joinJudianRef="" inspectTypeEn="errorspace" keywordsUrl="" rule="" lookup="%L" content="% L" source="疑似存在多余的空格" errorType="16" AllIndex="0" context="本次评价考虑电池内20% LiPF6、PVDF 物料受热分解，根据受热分解方程式计算可得，电解质及胶黏剂受热分解过程氟化氢产生量为（以氟化物计）0.0051t/a。" id="3021514" bkName="bkReivew3021514" note="0" index="11"/>
  <Review inspectType="语法错误" inspectCategory="可疑" errorCategory="4" operate="2" amend="0" amendTime="" amendContent="" amendColor="" joinJudianRef="" inspectTypeEn="grammar" keywordsUrl="" rule="" lookup="建议删除" content="的" source="" errorType="2" AllIndex="0" context="②加强操作工的培训和管理，减少人为的无组织挥发量的增加；" id="31156" bkName="bkReivew31156" note="0" index="17"/>
  <Review inspectType="语法错误" inspectCategory="可疑" errorCategory="4" operate="1" amend="0" amendTime="" amendContent="" amendColor="" joinJudianRef="" inspectTypeEn="grammar" keywordsUrl="" rule="" lookup="的限值" content="限值" source="" errorType="2" AllIndex="0" context="厂区内非甲烷总烃无组织排放限值执行《大气污染物综合排放标准》（DB32/4041-2021）表2限值。" id="2103116" bkName="bkReivew2103116" note="0" index="48"/>
  <Review inspectType="语法错误" inspectCategory="可疑" errorCategory="4" operate="1" amend="0" amendTime="" amendContent="" amendColor="" joinJudianRef="" inspectTypeEn="grammar" keywordsUrl="" rule="" lookup="使其对" content="对" source="" errorType="2" AllIndex="0" context="综上，在落实本项目提出的污染防治措施的前提下，建议企业在日常运营过程中加强管理，以减轻项目对周围大气环境的影响，对周围大气环境影响较小。" id="1073614" bkName="bkReivew1073614" note="0" index="56"/>
  <Review inspectType="标点符号错误" inspectCategory="可疑" errorCategory="4" operate="0" amend="0" amendTime="" amendContent="" amendColor="" joinJudianRef="" inspectTypeEn="punctuation" keywordsUrl="" rule="" lookup="建议修改为可书写在段首的标点符号" content="-" source="" errorType="102" AllIndex="0" context="-" id="3060635" bkName="bkReivew3060635" note="0" index="0"/>
  <Review inspectType="语法错误" inspectCategory="可疑" errorCategory="4" operate="2" amend="0" amendTime="" amendContent="" amendColor="" joinJudianRef="" inspectTypeEn="grammar" keywordsUrl="" rule="" lookup="建议删除" content="质" source="" errorType="2" AllIndex="0" context="厂区化粪池工作原理为：主要通过格栅截留污水中的粗大悬浮物和漂浮物、纤维物质和固体颗粒物质，利用池内位置相对固定的厌氧菌去除部分污染物，同时在池内由于沉淀作用，部分悬浮物从水体中沉淀分离出来。" id="2071645" bkName="bkReivew2071645" note="0" index="43"/>
  <Review inspectType="语法错误" inspectCategory="可疑" errorCategory="4" operate="2" amend="0" amendTime="" amendContent="" amendColor="" joinJudianRef="" inspectTypeEn="grammar" keywordsUrl="" rule="" lookup="建议删除" content="情况" source="" errorType="2" AllIndex="0" context="②管网、位置落实情况及时间对接情况分析" id="3052133" bkName="bkReivew3052133" note="0" index="15"/>
  <Review inspectType="标点全半角格式" inspectCategory="可疑" errorCategory="4" operate="1" amend="0" amendTime="" amendContent="" amendColor="" joinJudianRef="" inspectTypeEn="punctuationformat" keywordsUrl="" rule="" lookup="）" content=")" source="建议使用对应的全角标点符号" errorType="101" AllIndex="0" context="室内最近边界声级/dB(A)" id="103751" bkName="bkReivew103751" note="0" index="13"/>
  <Review inspectType="标点全半角格式" inspectCategory="可疑" errorCategory="4" operate="1" amend="0" amendTime="" amendContent="" amendColor="" joinJudianRef="" inspectTypeEn="punctuationformat" keywordsUrl="" rule="" lookup="）" content=")" source="建议使用对应的全角标点符号" errorType="101" AllIndex="0" context="建筑物插入损失/dB(A)" id="1182600" bkName="bkReivew1182600" note="0" index="12"/>
  <Review inspectType="标点全半角格式" inspectCategory="可疑" errorCategory="4" operate="1" amend="0" amendTime="" amendContent="" amendColor="" joinJudianRef="" inspectTypeEn="punctuationformat" keywordsUrl="" rule="" lookup="）" content=")" source="建议使用对应的全角标点符号" errorType="101" AllIndex="0" context="声功率级/dB(A)" id="2120541" bkName="bkReivew2120541" note="0" index="9"/>
  <Review inspectType="标点全半角格式" inspectCategory="可疑" errorCategory="4" operate="1" amend="0" amendTime="" amendContent="" amendColor="" joinJudianRef="" inspectTypeEn="punctuationformat" keywordsUrl="" rule="" lookup="）" content=")" source="建议使用对应的全角标点符号" errorType="101" AllIndex="0" context="声压级/dB(A)" id="1033712" bkName="bkReivew1033712" note="0" index="8"/>
  <Review inspectType="语法错误" inspectCategory="可疑" errorCategory="4" operate="2" amend="0" amendTime="" amendContent="" amendColor="" joinJudianRef="" inspectTypeEn="grammar" keywordsUrl="" rule="" lookup="建议删除" content="的" source="" errorType="2" AllIndex="0" context="本项目的噪声源主要为生产工艺上设备运行噪声，根据《环境影响评价技术导则 声环境》（HJ2.4-2021），为降低生产设备噪声对周围环境的影响，建设单位拟采用的噪声治理措施：" id="50813" bkName="bkReivew50813" note="0" index="78"/>
  <Review inspectType="语法错误" inspectCategory="可疑" errorCategory="4" operate="2" amend="0" amendTime="" amendContent="" amendColor="" joinJudianRef="" inspectTypeEn="grammar" keywordsUrl="" rule="" lookup="建议删除" content="强" source="" errorType="2" AllIndex="0" context="①在设备选型时选用先进的低噪声设备，在满足工艺设计的前提下，尽量地选用满足国际标准的低噪声、低振动型号的设备，降低噪声源强。" id="161855" bkName="bkReivew161855" note="0" index="60"/>
  <Review inspectType="语法错误" inspectCategory="可疑" errorCategory="4" operate="2" amend="0" amendTime="" amendContent="" amendColor="" joinJudianRef="" inspectTypeEn="grammar" keywordsUrl="" rule="" lookup="建议删除" content="约" source="" errorType="2" AllIndex="0" context="②本项目高噪声设备均安置在室内，合理布置设备的位置，有效利用建筑隔声，并采取隔声、吸声材料制作门窗、墙体等，防止噪声的扩散和传播，正常生产时门窗密闭，采取隔声措施，降噪量约20dB（A）左右。" id="1051354" bkName="bkReivew1051354" note="0" index="85"/>
  <Review inspectType="多余空格" inspectCategory="可疑" errorCategory="4" operate="1" amend="0" amendTime="" amendContent="" amendColor="" joinJudianRef="" inspectTypeEn="errorspace" keywordsUrl="" rule="" lookup=")—" content=") —" source="疑似存在多余的空格" errorType="16" AllIndex="0" context="Lp(r) ——预测点处声压级，dB；" id="2053455" bkName="bkReivew2053455" note="0" index="4"/>
  <Review inspectType="多余空格" inspectCategory="可疑" errorCategory="4" operate="1" amend="0" amendTime="" amendContent="" amendColor="" joinJudianRef="" inspectTypeEn="errorspace" keywordsUrl="" rule="" lookup=")—" content=") —" source="疑似存在多余的空格" errorType="16" AllIndex="0" context="Lp(r0) ——参考位置r0 处的声压级，dB；" id="3020446" bkName="bkReivew3020446" note="0" index="5"/>
  <Review inspectType="多余空格" inspectCategory="可疑" errorCategory="4" operate="1" amend="0" amendTime="" amendContent="" amendColor="" joinJudianRef="" inspectTypeEn="errorspace" keywordsUrl="" rule="" lookup="T—" content="T —" source="疑似存在多余的空格" errorType="16" AllIndex="0" context="T ——用于计算等效声级的时间，s；" id="131055" bkName="bkReivew131055" note="0" index="0"/>
  <Review inspectType="多余空格" inspectCategory="可疑" errorCategory="4" operate="1" amend="0" amendTime="" amendContent="" amendColor="" joinJudianRef="" inspectTypeEn="errorspace" keywordsUrl="" rule="" lookup="N—" content="N —" source="疑似存在多余的空格" errorType="16" AllIndex="0" context="N ——室外声源个数；" id="2050522" bkName="bkReivew2050522" note="0" index="0"/>
  <Review inspectType="标点符号错误" inspectCategory="可疑" errorCategory="4" operate="0" amend="0" amendTime="" amendContent="" amendColor="" joinJudianRef="" inspectTypeEn="punctuation" keywordsUrl="" rule="" lookup="套用错误" content="(" source="" errorType="106" AllIndex="0" context="厂界噪声预测结果（单位：dB(A)）" id="2112520" bkName="bkReivew2112520" note="0" index="14"/>
  <Review inspectType="标点符号错误" inspectCategory="可疑" errorCategory="4" operate="0" amend="0" amendTime="" amendContent="" amendColor="" joinJudianRef="" inspectTypeEn="punctuation" keywordsUrl="" rule="" lookup="套用错误" content=")" source="" errorType="106" AllIndex="0" context="厂界噪声预测结果（单位：dB(A)）" id="123332" bkName="bkReivew123332" note="0" index="16"/>
  <Review inspectType="语法错误" inspectCategory="可疑" errorCategory="4" operate="2" amend="0" amendTime="" amendContent="" amendColor="" joinJudianRef="" inspectTypeEn="grammar" keywordsUrl="" rule="" lookup="建议删除" content="约" source="" errorType="2" AllIndex="0" context="本项目灭火会产生消防废液，根据企业提供资料，灭火器规格为3L/瓶，年用量为2瓶，约产生6L/a（约0.006t/a）消防废液。" id="42030" bkName="bkReivew42030" note="0" index="40"/>
  <Review inspectType="语法错误" inspectCategory="可疑" errorCategory="4" operate="1" amend="0" amendTime="" amendContent="" amendColor="" joinJudianRef="" inspectTypeEn="grammar" keywordsUrl="" rule="" lookup="在仓库" content="仓库" source="" errorType="2" AllIndex="0" context="一般固废仓库暂存，合规处置" id="1002754" bkName="bkReivew1002754" note="0" index="4"/>
  <Review inspectType="语法错误" inspectCategory="可疑" errorCategory="4" operate="1" amend="0" amendTime="" amendContent="" amendColor="" joinJudianRef="" inspectTypeEn="grammar" keywordsUrl="" rule="" lookup="的防渗" content="防渗" source="" errorType="2" AllIndex="0" context="一般固废暂存库应满足相应防渗漏、防雨淋、防扬尘等环境保护要求。" id="2060355" bkName="bkReivew2060355" note="0" index="12"/>
  <Review inspectType="语法错误" inspectCategory="可疑" errorCategory="4" operate="1" amend="0" amendTime="" amendContent="" amendColor="" joinJudianRef="" inspectTypeEn="grammar" keywordsUrl="" rule="" lookup="泡沫" content="泡" source="" errorType="2" AllIndex="0" context="本项目设置危废贮存点0.5m2用于暂存泡电池废液、消防废液，贮存点具有固定的区域边界，下方设置防渗托盘。" id="3061445" bkName="bkReivew3061445" note="0" index="19"/>
  <Review inspectType="标准名称与标准号不匹配" inspectCategory="可疑" errorCategory="4" operate="0" amend="0" amendTime="" amendContent="" amendColor="" joinJudianRef="" inspectTypeEn="standardsmismatch" keywordsUrl="" rule="" lookup="HJ 2025-2012 危险废物收集、贮存、运输技术规范" content="《危险废物收集 贮存 运输技术规范》（HJ2025-2012）" source="" errorType="" AllIndex="0" context="根据《危险废物收集 贮存 运输技术规范》（HJ2025-2012）、《危险废物转移管理办法》（2022年1月1日）的有关规定，在危险废物外运至处置单位时必须严格遵守以下要求：" id="81301" bkName="bkReivew81301" note="0" index="2"/>
  <Review inspectType="标准名称与标准号不匹配" inspectCategory="可疑" errorCategory="4" operate="0" amend="0" amendTime="" amendContent="" amendColor="" joinJudianRef="" inspectTypeEn="standardsmismatch" keywordsUrl="" rule="" lookup="HJ 2025-2012 危险废物收集、贮存、运输技术规范" content="《危险废物收集 贮存 运输技术规范》（HJ2025-2012）" source="" errorType="" AllIndex="0" context="《危险废物收集 贮存 运输技术规范》（HJ2025-2012）" id="2043806" bkName="bkReivew2043806" note="0" index="0"/>
  <Review inspectType="标准名称与标准号不匹配" inspectCategory="可疑" errorCategory="4" operate="0" amend="0" amendTime="" amendContent="" amendColor="" joinJudianRef="" inspectTypeEn="standardsmismatch" keywordsUrl="" rule="" lookup="HJ 2025-2012 危险废物收集、贮存、运输技术规范" content="《危险废物收集 贮存 运输技术规范》（HJ2025-2012）" source="" errorType="" AllIndex="0" context="本项目危险废物严格按照《危险废物收集 贮存 运输技术规范》（HJ2025-2012）中相关要求运输，在厂区内部运输过程中，严格采取措施防止散落、泄漏，同时运输过程中避开办公区，亦不会对人员及周边环境产生影响。" id="3183410" bkName="bkReivew3183410" note="0" index="11"/>
  <Review inspectType="标准名称与标准号不匹配" inspectCategory="可疑" errorCategory="4" operate="0" amend="0" amendTime="" amendContent="" amendColor="" joinJudianRef="" inspectTypeEn="standardsmismatch" keywordsUrl="" rule="" lookup="HJ 2025-2012 危险废物收集、贮存、运输技术规范" content="《危险废物收集 贮存 运输技术规范》（HJ2025-2012）" source="" errorType="" AllIndex="0" context="危险废物从项目厂区运输至有资质的处置单位过程中，将严格按照《危险废物收集 贮存 运输技术规范》（HJ2025-2012）要求，确保运输过程中不会对运输沿线的敏感点产生影响。" id="2110741" bkName="bkReivew2110741" note="0" index="29"/>
  <Review inspectType="语法错误" inspectCategory="可疑" errorCategory="4" operate="2" amend="0" amendTime="" amendContent="" amendColor="" joinJudianRef="" inspectTypeEn="grammar" keywordsUrl="" rule="" lookup="建议删除" content="中" source="" errorType="2" AllIndex="0" context="a.企业危险废物转移须严格按照《危险废物转移管理办法》（2022年1月1日）中相关要求管理。" id="1171140" bkName="bkReivew1171140" note="0" index="38"/>
  <Review inspectType="语法错误" inspectCategory="可疑" errorCategory="4" operate="1" amend="1" amendTime="2026/7/28 18:13:56" amendContent="将入" amendColor="16740864" joinJudianRef="" inspectTypeEn="grammar" keywordsUrl="" rule="" lookup="将入" content="入" source="" errorType="2" AllIndex="0" context="Ⅱ、企业已建立档案制度，入厂贮存的一般工业固体废物的种类、数量详细记录在案，长期保存，供随时查阅。" id="2123126" bkName="bkReivew2123126" note="0" index="12" originColor="reviewtag_FF0000"/>
  <Review inspectType="语法错误" inspectCategory="可疑" errorCategory="4" operate="1" amend="1" amendTime="2026/7/28 18:14:04" amendContent="会导致" amendColor="16740864" joinJudianRef="" inspectTypeEn="grammar" keywordsUrl="" rule="" lookup="会导致" content="导致" source="" errorType="2" AllIndex="0" context="本项目产生的液态危废一旦储存不当，导致包装桶内残留的废液泄漏，泄漏的废液可能会进入雨、污管网，随雨水进入河流，进而造成地表水的污染。" id="3522" bkName="bkReivew3522" note="0" index="17" originColor="reviewtag_FF0000"/>
  <Review inspectType="语法错误" inspectCategory="可疑" errorCategory="4" operate="2" amend="1" amendTime="2026/7/28 18:14:29" amendContent="" amendColor="16740864" joinJudianRef="" inspectTypeEn="grammar" keywordsUrl="" rule="" lookup="建议删除" content="的要求" source="" errorType="2" AllIndex="0" context="本项目暂存的危险废物都按要求妥善保管，暂存场地地面按控制标准的要求做了防渗漏处理，一旦发生泄漏事故及时采取控制措施，环境风险水平在可控制范围内。" id="1113601" bkName="bkReivew1113601" note="0" index="30" originColor="reviewtag_FF0000"/>
  <Review inspectType="语法错误" inspectCategory="可疑" errorCategory="4" operate="2" amend="0" amendTime="" amendContent="" amendColor="" joinJudianRef="" inspectTypeEn="grammar" keywordsUrl="" rule="" lookup="建议删除" content="环境" source="" errorType="2" AllIndex="0" context="由上表可知，本项目地下水、土壤环境污染途径主要为垂直入渗，主要污染物为危险废物等。" id="1071721" bkName="bkReivew1071721" note="0" index="15"/>
  <Review inspectType="标点符号错误" inspectCategory="可疑" errorCategory="4" operate="0" amend="0" amendTime="" amendContent="" amendColor="" joinJudianRef="" inspectTypeEn="punctuation" keywordsUrl="" rule="" lookup="建议修改为可书写在段首的标点符号" content="/" source="" errorType="102" AllIndex="0" context="/" id="3053656" bkName="bkReivew3053656" note="0" index="0"/>
  <Review inspectType="标点符号错误" inspectCategory="可疑" errorCategory="4" operate="0" amend="0" amendTime="" amendContent="" amendColor="" joinJudianRef="" inspectTypeEn="punctuation" keywordsUrl="" rule="" lookup="建议修改为可书写在段首的标点符号" content="/" source="" errorType="102" AllIndex="0" context="/" id="2011814" bkName="bkReivew2011814" note="0" index="0"/>
  <Review inspectType="标点符号错误" inspectCategory="错误" errorCategory="1" operate="0" amend="0" amendTime="" amendContent="" amendColor="" joinJudianRef="" inspectTypeEn="punctuation" keywordsUrl="" rule="" lookup="标点符号连用" content="，…，" source="" errorType="104" AllIndex="0" context="式中：q1，q2，…，qn—每种危险物质的最大存在总量，t；" id="80825" bkName="bkReivew80825" note="0" index="8"/>
  <Review inspectType="标点符号错误" inspectCategory="错误" errorCategory="1" operate="0" amend="0" amendTime="" amendContent="" amendColor="" joinJudianRef="" inspectTypeEn="punctuation" keywordsUrl="" rule="" lookup="标点符号连用" content="，…，" source="" errorType="104" AllIndex="0" context="Q1，Q2，…，Qn—每种危险物质的临界量，t；" id="3162014" bkName="bkReivew3162014" note="0" index="5"/>
  <Review inspectType="语法错误" inspectCategory="可疑" errorCategory="4" operate="1" amend="0" amendTime="" amendContent="" amendColor="" joinJudianRef="" inspectTypeEn="grammar" keywordsUrl="" rule="" lookup="泡沫" content="泡" source="" errorType="2" AllIndex="0" context="根据《建设项目环境风险评价技术导则》（HJ169-2018）附录B，企业全厂涉及的风险物质主要为泡电池废液、消防废液。" id="2072502" bkName="bkReivew2072502" note="0" index="48"/>
  <Review inspectType="语法错误" inspectCategory="可疑" errorCategory="4" operate="1" amend="0" amendTime="" amendContent="" amendColor="" joinJudianRef="" inspectTypeEn="grammar" keywordsUrl="" rule="" lookup="泡沫" content="泡" source="" errorType="2" AllIndex="0" context="项目泡电池废液、消防废液在贮存、运输过程中泄漏进入外环境，当未能及时有效处理时会污染泄漏地土壤环境。" id="42626" bkName="bkReivew42626" note="0" index="2"/>
  <Review inspectType="语法错误" inspectCategory="可疑" errorCategory="4" operate="2" amend="0" amendTime="" amendContent="" amendColor="" joinJudianRef="" inspectTypeEn="grammar" keywordsUrl="" rule="" lookup="建议删除" content="时" source="" errorType="2" AllIndex="0" context="若发生事故时，第一时间投掷堵水气囊，将事故废水、消防废水截留在厂区内部，并利用抽水泵将事故废水转移至应急水囊中，经检测能达到接管标准，可接管至空港污水处理厂，若达不到接管标准则需委托有资质单位处置，杜绝以任何形式进入市政雨污管网。" id="152411" bkName="bkReivew152411" note="0" index="5"/>
  <Review inspectType="标点全半角格式" inspectCategory="可疑" errorCategory="4" operate="1" amend="0" amendTime="" amendContent="" amendColor="" joinJudianRef="" inspectTypeEn="punctuationformat" keywordsUrl="" rule="" lookup="(" content="（" source="建议使用对应的半角标点符号" errorType="101" AllIndex="0" context="V总＝（V1＋V2-V3）max+V4+V5" id="2031410" bkName="bkReivew2031410" note="0" index="3"/>
  <Review inspectType="标点全半角格式" inspectCategory="可疑" errorCategory="4" operate="1" amend="0" amendTime="" amendContent="" amendColor="" joinJudianRef="" inspectTypeEn="punctuationformat" keywordsUrl="" rule="" lookup=")" content="）" source="建议使用对应的半角标点符号" errorType="101" AllIndex="0" context="V总＝（V1＋V2-V3）max+V4+V5" id="10346" bkName="bkReivew10346" note="0" index="12"/>
  <Review inspectType="语法错误" inspectCategory="可疑" errorCategory="4" operate="1" amend="0" amendTime="" amendContent="" amendColor="" joinJudianRef="" inspectTypeEn="grammar" keywordsUrl="" rule="" lookup="泡沫" content="泡" source="" errorType="2" AllIndex="0" context="公司内最大物料桶为泡电池桶，200L/桶，取0.2m3；" id="3181851" bkName="bkReivew3181851" note="0" index="9"/>
  <Review inspectType="语法错误" inspectCategory="可疑" errorCategory="4" operate="1" amend="0" amendTime="" amendContent="" amendColor="" joinJudianRef="" inspectTypeEn="grammar" keywordsUrl="" rule="" lookup="经济开发区" content="经开区" source="" errorType="2" AllIndex="0" context="企业环境风险防范应建立与空港经开区、江宁经济技术开发区对接、联动的风险防范体系。" id="2180244" bkName="bkReivew2180244" note="0" index="14"/>
  <Review inspectType="语法错误" inspectCategory="可疑" errorCategory="4" operate="1" amend="0" amendTime="" amendContent="" amendColor="" joinJudianRef="" inspectTypeEn="grammar" keywordsUrl="" rule="" lookup="的要求" content="要求" source="" errorType="2" AllIndex="0" context="本次环评要求危废贮存设施须满足《危险废物贮存污染控制标准》（GB18597-2023）要求。" id="101052" bkName="bkReivew101052" note="0" index="43"/>
  <Review inspectType="语法错误" inspectCategory="可疑" errorCategory="4" operate="2" amend="0" amendTime="" amendContent="" amendColor="" joinJudianRef="" inspectTypeEn="grammar" keywordsUrl="" rule="" lookup="建议删除" content="的" source="" errorType="2" AllIndex="0" context="根据《江苏省排污口设置及规范化整治管理办法》的第十二条规定，排污口应符合“一明显、二合理、三便于”的要求，即环保标志明显，排污口设置合理、排污去向合理，便于采集样品、便于监测计量、便于公众监督管理。" id="2080741" bkName="bkReivew2080741" note="0" index="22"/>
  <Review inspectType="标准名称与标准号不匹配" inspectCategory="可疑" errorCategory="4" operate="0" amend="0" amendTime="" amendContent="" amendColor="" joinJudianRef="" inspectTypeEn="standardsmismatch" keywordsUrl="" rule="" lookup="GB 15562.1-1995 环境保护图形标志 排放口(源)" content="《环境保护图形标志—排放口（源）》（GB15562.1-1995）" source="" errorType="" AllIndex="0" context="并按照《环境保护图形标志—排放口（源）》（GB15562.1-1995）的规定，对各排污口设立相应的标志牌。" id="2063022" bkName="bkReivew2063022" note="0" index="3"/>
  <Review inspectType="语法错误" inspectCategory="可疑" errorCategory="4" operate="1" amend="0" amendTime="" amendContent="" amendColor="" joinJudianRef="" inspectTypeEn="grammar" keywordsUrl="" rule="" lookup="标识牌的" content="标志牌" source="" errorType="2" AllIndex="0" context="（5）设置标志牌要求" id="2021013" bkName="bkReivew2021013" note="0" index="5"/>
  <Review inspectType="语法错误" inspectCategory="可疑" errorCategory="4" operate="1" amend="1" amendTime="2026/7/28 18:15:09" amendContent="将设置" amendColor="16740864" joinJudianRef="" inspectTypeEn="grammar" keywordsUrl="" rule="" lookup="将设置" content="设置" source="" errorType="2" AllIndex="0" context="项目建成后，厂区设置专门的环境管理机构，配备专职环保人员1名，负责环境监督管理工作，同时要加强对管理人员的环保培训，不断提高管理水平。" id="3181254" bkName="bkReivew3181254" note="0" index="8" originColor="reviewtag_FF0000"/>
  <Review inspectType="字词错误" inspectCategory="可疑" errorCategory="4" operate="1" amend="0" amendTime="" amendContent="" amendColor="" joinJudianRef="" inspectTypeEn="errorwords" keywordsUrl="" rule="" lookup="法规" content="法令" source="" errorType="2" AllIndex="0" context="1）组织贯彻国家及地方的有关环保方针、政策法令和条例，搞好环境教育和技术培训，增强公司职工的环保意识和技术水平，提高污染控制的责任心。" id="100021" bkName="bkReivew100021" note="0" index="21"/>
  <Review inspectType="语法错误" inspectCategory="可疑" errorCategory="4" operate="2" amend="1" amendTime="2026/7/28 18:15:21" amendContent="" amendColor="16740864" joinJudianRef="" inspectTypeEn="grammar" keywordsUrl="" rule="" lookup="建议删除" content="立即" source="" errorType="2" AllIndex="0" context="定期检查安全消防设施的完好性，确保其处于立即可用状态，以备在事故发生时，能及时、高效地发挥作用。" id="3812" bkName="bkReivew3812" note="0" index="20" originColor="reviewtag_FF0000"/>
  <Review inspectType="字词错误" inspectCategory="可疑" errorCategory="4" operate="1" amend="0" amendTime="" amendContent="" amendColor="" joinJudianRef="" inspectTypeEn="errorwords" keywordsUrl="" rule="" lookup="法规" content="法令" source="" errorType="2" AllIndex="0" context="①组织贯彻国家及地方的有关环保方针、政策法令和条例，搞好环境教育和技术培训，增强公司职工的环保意识和技术水平，提高污染控制的责任心。" id="3080245" bkName="bkReivew3080245" note="0" index="20"/>
  <Review inspectType="多余空格" inspectCategory="可疑" errorCategory="4" operate="1" amend="0" amendTime="" amendContent="" amendColor="" joinJudianRef="" inspectTypeEn="errorspace" keywordsUrl="" rule="" lookup="2土" content="2  土" source="疑似存在多余的空格" errorType="16" AllIndex="0" context="附图2  土地利用规划图（远期）" id="3063646" bkName="bkReivew3063646" note="0" index="2"/>
</ReviewRoot>
</file>

<file path=customXml/item8.xml><?xml version="1.0" encoding="utf-8"?>
<ReviewRoot xmlns="http://www.founder.com/operation">
  <CorrigendumButton current="3063646" previous="3080245"/>
</Review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a281f6-e0d4-47c2-a999-15cf2ba37b6c}">
  <ds:schemaRefs/>
</ds:datastoreItem>
</file>

<file path=customXml/itemProps3.xml><?xml version="1.0" encoding="utf-8"?>
<ds:datastoreItem xmlns:ds="http://schemas.openxmlformats.org/officeDocument/2006/customXml" ds:itemID="{133743A9-ABC8-440E-98A7-41A1D707BBEB}">
  <ds:schemaRefs/>
</ds:datastoreItem>
</file>

<file path=customXml/itemProps4.xml><?xml version="1.0" encoding="utf-8"?>
<ds:datastoreItem xmlns:ds="http://schemas.openxmlformats.org/officeDocument/2006/customXml" ds:itemID="{7b956c16-add4-4777-9c0a-b79ac76828d5}">
  <ds:schemaRefs/>
</ds:datastoreItem>
</file>

<file path=customXml/itemProps5.xml><?xml version="1.0" encoding="utf-8"?>
<ds:datastoreItem xmlns:ds="http://schemas.openxmlformats.org/officeDocument/2006/customXml" ds:itemID="{e6912015-e726-4cf5-a567-5dee619535dc}">
  <ds:schemaRefs/>
</ds:datastoreItem>
</file>

<file path=customXml/itemProps6.xml><?xml version="1.0" encoding="utf-8"?>
<ds:datastoreItem xmlns:ds="http://schemas.openxmlformats.org/officeDocument/2006/customXml" ds:itemID="{c97662f6-1879-446f-afce-eb8e470d628e}">
  <ds:schemaRefs/>
</ds:datastoreItem>
</file>

<file path=customXml/itemProps7.xml><?xml version="1.0" encoding="utf-8"?>
<ds:datastoreItem xmlns:ds="http://schemas.openxmlformats.org/officeDocument/2006/customXml" ds:itemID="{9058cf88-21ab-4281-a374-eba34ae6e32c}">
  <ds:schemaRefs/>
</ds:datastoreItem>
</file>

<file path=customXml/itemProps8.xml><?xml version="1.0" encoding="utf-8"?>
<ds:datastoreItem xmlns:ds="http://schemas.openxmlformats.org/officeDocument/2006/customXml" ds:itemID="{7e23b457-283f-4fd5-aa6a-e5e6d4ad5817}">
  <ds:schemaRefs/>
</ds:datastoreItem>
</file>

<file path=docProps/app.xml><?xml version="1.0" encoding="utf-8"?>
<Properties xmlns="http://schemas.openxmlformats.org/officeDocument/2006/extended-properties" xmlns:vt="http://schemas.openxmlformats.org/officeDocument/2006/docPropsVTypes">
  <Template>Normal</Template>
  <Pages>68</Pages>
  <Words>4184</Words>
  <Characters>4526</Characters>
  <Lines>572</Lines>
  <Paragraphs>161</Paragraphs>
  <TotalTime>13</TotalTime>
  <ScaleCrop>false</ScaleCrop>
  <LinksUpToDate>false</LinksUpToDate>
  <CharactersWithSpaces>4539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2024-12-13T15:19:00Z</dcterms:created>
  <dc:creator>老板，来一碗泪流满面</dc:creator>
  <cp:lastModifiedBy>杨</cp:lastModifiedBy>
  <cp:lastPrinted>2025-04-23T15:17:00Z</cp:lastPrinted>
  <dcterms:modified xsi:type="dcterms:W3CDTF">2026-08-04T07:27:09Z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73A9972A08CF41D38C4028E56F99FEBD_13</vt:lpwstr>
  </property>
  <property fmtid="{D5CDD505-2E9C-101B-9397-08002B2CF9AE}" pid="4" name="commondata">
    <vt:lpwstr>eyJoZGlkIjoiYTVlZGZhMDc0ZmNmODI2ZWZlMDM5MGFmZDAwMjg4NzUifQ==</vt:lpwstr>
  </property>
  <property fmtid="{D5CDD505-2E9C-101B-9397-08002B2CF9AE}" pid="5" name="KSOTemplateDocerSaveRecord">
    <vt:lpwstr>eyJoZGlkIjoiMmFjYTJmNzFmOTNjYzJiNjdjMTJkODgwMDU4OGFjMjQiLCJ1c2VySWQiOiIxMzMxMjE5MCJ9</vt:lpwstr>
  </property>
</Properties>
</file>